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E9C4E">
      <w:pPr>
        <w:keepNext w:val="0"/>
        <w:keepLines w:val="0"/>
        <w:pageBreakBefore w:val="0"/>
        <w:kinsoku/>
        <w:overflowPunct/>
        <w:topLinePunct w:val="0"/>
        <w:autoSpaceDE/>
        <w:autoSpaceDN/>
        <w:bidi w:val="0"/>
        <w:adjustRightInd/>
        <w:snapToGrid/>
        <w:spacing w:line="600" w:lineRule="exact"/>
        <w:rPr>
          <w:rFonts w:hint="eastAsia" w:ascii="Times New Roman" w:hAnsi="Times New Roman" w:eastAsia="方正黑体_GBK" w:cs="Times New Roman"/>
          <w:sz w:val="32"/>
          <w:szCs w:val="32"/>
          <w:lang w:val="en-US" w:eastAsia="zh-CN"/>
        </w:rPr>
      </w:pPr>
      <w:r>
        <w:rPr>
          <w:rFonts w:hint="eastAsia" w:ascii="Times New Roman" w:hAnsi="Times New Roman" w:eastAsia="方正黑体_GBK" w:cs="Times New Roman"/>
          <w:sz w:val="32"/>
          <w:szCs w:val="32"/>
        </w:rPr>
        <w:t>附件</w:t>
      </w:r>
      <w:r>
        <w:rPr>
          <w:rFonts w:hint="eastAsia" w:ascii="Times New Roman" w:hAnsi="Times New Roman" w:eastAsia="方正黑体_GBK" w:cs="Times New Roman"/>
          <w:sz w:val="32"/>
          <w:szCs w:val="32"/>
          <w:lang w:val="en-US" w:eastAsia="zh-CN"/>
        </w:rPr>
        <w:t>7</w:t>
      </w:r>
    </w:p>
    <w:p w14:paraId="63C0973F">
      <w:pPr>
        <w:pStyle w:val="2"/>
        <w:rPr>
          <w:rFonts w:hint="eastAsia"/>
          <w:lang w:val="en-US" w:eastAsia="zh-CN"/>
        </w:rPr>
      </w:pPr>
    </w:p>
    <w:p w14:paraId="0CA339A0">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Times New Roman" w:hAnsi="Times New Roman" w:eastAsia="方正小标宋_GBK" w:cs="Times New Roman"/>
          <w:snapToGrid/>
          <w:color w:val="000000"/>
          <w:kern w:val="2"/>
          <w:sz w:val="44"/>
          <w:szCs w:val="44"/>
          <w:lang w:val="en-US" w:eastAsia="zh-CN" w:bidi="ar-SA"/>
        </w:rPr>
      </w:pPr>
      <w:r>
        <w:rPr>
          <w:rFonts w:hint="eastAsia" w:ascii="Times New Roman" w:hAnsi="Times New Roman" w:eastAsia="方正小标宋_GBK" w:cs="Times New Roman"/>
          <w:snapToGrid/>
          <w:color w:val="000000"/>
          <w:kern w:val="2"/>
          <w:sz w:val="44"/>
          <w:szCs w:val="44"/>
          <w:lang w:val="en-US" w:eastAsia="zh-CN" w:bidi="ar-SA"/>
        </w:rPr>
        <w:t>云南省中央农业防灾减灾和水利救灾转移支付2025年度绩效自评报告</w:t>
      </w:r>
    </w:p>
    <w:p w14:paraId="470BBC7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仿宋_GBK" w:cs="Times New Roman"/>
          <w:snapToGrid/>
          <w:color w:val="auto"/>
          <w:kern w:val="2"/>
          <w:sz w:val="32"/>
          <w:szCs w:val="32"/>
          <w:lang w:val="en-US" w:eastAsia="zh-CN" w:bidi="ar-SA"/>
        </w:rPr>
      </w:pPr>
    </w:p>
    <w:p w14:paraId="1574849B">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方正黑体_GBK" w:hAnsi="方正黑体_GBK" w:eastAsia="方正黑体_GBK" w:cs="方正黑体_GBK"/>
          <w:b w:val="0"/>
          <w:bCs w:val="0"/>
          <w:snapToGrid/>
          <w:color w:val="auto"/>
          <w:kern w:val="2"/>
          <w:sz w:val="32"/>
          <w:szCs w:val="32"/>
          <w:lang w:val="en-US" w:eastAsia="zh-CN" w:bidi="ar-SA"/>
        </w:rPr>
        <w:t>一、绩效目标分解下达情况</w:t>
      </w:r>
    </w:p>
    <w:p w14:paraId="46A87A88">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楷体_GBK" w:cs="Times New Roman"/>
          <w:b w:val="0"/>
          <w:bCs w:val="0"/>
          <w:color w:val="auto"/>
          <w:sz w:val="32"/>
          <w:szCs w:val="32"/>
          <w:highlight w:val="none"/>
          <w:lang w:eastAsia="zh-CN"/>
        </w:rPr>
      </w:pPr>
      <w:r>
        <w:rPr>
          <w:rFonts w:hint="default" w:ascii="Times New Roman" w:hAnsi="Times New Roman" w:eastAsia="方正楷体_GBK" w:cs="Times New Roman"/>
          <w:b w:val="0"/>
          <w:bCs w:val="0"/>
          <w:color w:val="auto"/>
          <w:sz w:val="32"/>
          <w:szCs w:val="32"/>
          <w:highlight w:val="none"/>
          <w:lang w:eastAsia="zh-CN"/>
        </w:rPr>
        <w:t>（一）中央下达专项转移支付预算和绩效目标情况</w:t>
      </w:r>
    </w:p>
    <w:p w14:paraId="11B21BCC">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1.中央预算下达情况</w:t>
      </w:r>
    </w:p>
    <w:p w14:paraId="1CAF224D">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outlineLvl w:val="0"/>
        <w:rPr>
          <w:rFonts w:hint="default"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b w:val="0"/>
          <w:bCs w:val="0"/>
          <w:color w:val="auto"/>
          <w:sz w:val="32"/>
          <w:szCs w:val="32"/>
          <w:highlight w:val="none"/>
          <w:lang w:val="en-US" w:eastAsia="zh-CN"/>
        </w:rPr>
        <w:t>根据</w:t>
      </w:r>
      <w:r>
        <w:rPr>
          <w:rFonts w:hint="default" w:ascii="Times New Roman" w:hAnsi="Times New Roman" w:eastAsia="方正仿宋_GBK" w:cs="Times New Roman"/>
          <w:color w:val="auto"/>
          <w:sz w:val="32"/>
          <w:szCs w:val="32"/>
          <w:lang w:val="en-US" w:eastAsia="zh-CN"/>
        </w:rPr>
        <w:t>《财政部关于下达2025年农业防灾减灾和水利救灾资金预算（</w:t>
      </w:r>
      <w:r>
        <w:rPr>
          <w:rFonts w:hint="eastAsia" w:ascii="Times New Roman" w:hAnsi="Times New Roman" w:eastAsia="方正仿宋_GBK" w:cs="Times New Roman"/>
          <w:color w:val="auto"/>
          <w:sz w:val="32"/>
          <w:szCs w:val="32"/>
          <w:lang w:val="en-US" w:eastAsia="zh-CN"/>
        </w:rPr>
        <w:t>防灾救灾</w:t>
      </w:r>
      <w:r>
        <w:rPr>
          <w:rFonts w:hint="default" w:ascii="Times New Roman" w:hAnsi="Times New Roman" w:eastAsia="方正仿宋_GBK" w:cs="Times New Roman"/>
          <w:color w:val="auto"/>
          <w:sz w:val="32"/>
          <w:szCs w:val="32"/>
          <w:lang w:val="en-US" w:eastAsia="zh-CN"/>
        </w:rPr>
        <w:t>第</w:t>
      </w:r>
      <w:r>
        <w:rPr>
          <w:rFonts w:hint="eastAsia" w:ascii="Times New Roman" w:hAnsi="Times New Roman" w:eastAsia="方正仿宋_GBK" w:cs="Times New Roman"/>
          <w:color w:val="auto"/>
          <w:sz w:val="32"/>
          <w:szCs w:val="32"/>
          <w:lang w:val="en-US" w:eastAsia="zh-CN"/>
        </w:rPr>
        <w:t>三</w:t>
      </w:r>
      <w:r>
        <w:rPr>
          <w:rFonts w:hint="default" w:ascii="Times New Roman" w:hAnsi="Times New Roman" w:eastAsia="方正仿宋_GBK" w:cs="Times New Roman"/>
          <w:color w:val="auto"/>
          <w:sz w:val="32"/>
          <w:szCs w:val="32"/>
          <w:lang w:val="en-US" w:eastAsia="zh-CN"/>
        </w:rPr>
        <w:t>批）的通知》（财农〔2025〕</w:t>
      </w:r>
      <w:r>
        <w:rPr>
          <w:rFonts w:hint="eastAsia" w:ascii="Times New Roman" w:hAnsi="Times New Roman" w:eastAsia="方正仿宋_GBK" w:cs="Times New Roman"/>
          <w:color w:val="auto"/>
          <w:sz w:val="32"/>
          <w:szCs w:val="32"/>
          <w:lang w:val="en-US" w:eastAsia="zh-CN"/>
        </w:rPr>
        <w:t>24</w:t>
      </w:r>
      <w:r>
        <w:rPr>
          <w:rFonts w:hint="default" w:ascii="Times New Roman" w:hAnsi="Times New Roman" w:eastAsia="方正仿宋_GBK" w:cs="Times New Roman"/>
          <w:color w:val="auto"/>
          <w:sz w:val="32"/>
          <w:szCs w:val="32"/>
          <w:lang w:val="en-US" w:eastAsia="zh-CN"/>
        </w:rPr>
        <w:t>号），中央财政下达我省农业生产救灾资金</w:t>
      </w:r>
      <w:r>
        <w:rPr>
          <w:rFonts w:hint="eastAsia" w:ascii="Times New Roman" w:hAnsi="Times New Roman" w:eastAsia="方正仿宋_GBK" w:cs="Times New Roman"/>
          <w:color w:val="auto"/>
          <w:sz w:val="32"/>
          <w:szCs w:val="32"/>
          <w:lang w:val="en-US" w:eastAsia="zh-CN"/>
        </w:rPr>
        <w:t>（应对病虫害）3980万元；</w:t>
      </w:r>
      <w:r>
        <w:rPr>
          <w:rFonts w:hint="default" w:ascii="Times New Roman" w:hAnsi="Times New Roman" w:eastAsia="方正仿宋_GBK" w:cs="Times New Roman"/>
          <w:color w:val="auto"/>
          <w:sz w:val="32"/>
          <w:szCs w:val="32"/>
          <w:lang w:val="en-US" w:eastAsia="zh-CN"/>
        </w:rPr>
        <w:t>根据《财政部关于下达2025年农业防灾减灾和水利救灾资金预算（防灾救灾第五批）的通知》（财农〔2025〕42号），中央财政下达我省农业生产救灾资金（</w:t>
      </w:r>
      <w:r>
        <w:rPr>
          <w:rFonts w:hint="eastAsia" w:ascii="Times New Roman" w:hAnsi="Times New Roman" w:eastAsia="方正仿宋_GBK" w:cs="Times New Roman"/>
          <w:color w:val="auto"/>
          <w:sz w:val="32"/>
          <w:szCs w:val="32"/>
          <w:lang w:val="en-US" w:eastAsia="zh-CN"/>
        </w:rPr>
        <w:t>洪涝</w:t>
      </w:r>
      <w:r>
        <w:rPr>
          <w:rFonts w:hint="default" w:ascii="Times New Roman" w:hAnsi="Times New Roman" w:eastAsia="方正仿宋_GBK" w:cs="Times New Roman"/>
          <w:color w:val="auto"/>
          <w:sz w:val="32"/>
          <w:szCs w:val="32"/>
          <w:lang w:val="en-US" w:eastAsia="zh-CN"/>
        </w:rPr>
        <w:t>）</w:t>
      </w:r>
      <w:r>
        <w:rPr>
          <w:rFonts w:hint="eastAsia" w:ascii="Times New Roman" w:hAnsi="Times New Roman" w:eastAsia="方正仿宋_GBK" w:cs="Times New Roman"/>
          <w:color w:val="auto"/>
          <w:sz w:val="32"/>
          <w:szCs w:val="32"/>
          <w:lang w:val="en-US" w:eastAsia="zh-CN"/>
        </w:rPr>
        <w:t>2200</w:t>
      </w:r>
      <w:r>
        <w:rPr>
          <w:rFonts w:hint="default" w:ascii="Times New Roman" w:hAnsi="Times New Roman" w:eastAsia="方正仿宋_GBK" w:cs="Times New Roman"/>
          <w:color w:val="auto"/>
          <w:sz w:val="32"/>
          <w:szCs w:val="32"/>
          <w:lang w:val="en-US" w:eastAsia="zh-CN"/>
        </w:rPr>
        <w:t>万元</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根据《</w:t>
      </w:r>
      <w:r>
        <w:rPr>
          <w:rFonts w:hint="default" w:ascii="Times New Roman" w:hAnsi="Times New Roman" w:eastAsia="方正仿宋_GBK" w:cs="Times New Roman"/>
          <w:kern w:val="2"/>
          <w:sz w:val="32"/>
          <w:szCs w:val="32"/>
          <w:highlight w:val="none"/>
          <w:lang w:val="en-US" w:eastAsia="zh-CN" w:bidi="ar-SA"/>
        </w:rPr>
        <w:t>财政部关于下达2025年农业防灾减灾和水利救灾资金预算（防灾救灾第十一批）的通知》（财农〔2025〕</w:t>
      </w:r>
      <w:r>
        <w:rPr>
          <w:rFonts w:hint="eastAsia" w:ascii="Times New Roman" w:hAnsi="Times New Roman" w:eastAsia="方正仿宋_GBK" w:cs="Times New Roman"/>
          <w:kern w:val="2"/>
          <w:sz w:val="32"/>
          <w:szCs w:val="32"/>
          <w:highlight w:val="none"/>
          <w:lang w:val="en-US" w:eastAsia="zh-CN" w:bidi="ar-SA"/>
        </w:rPr>
        <w:t>81</w:t>
      </w:r>
      <w:r>
        <w:rPr>
          <w:rFonts w:hint="default" w:ascii="Times New Roman" w:hAnsi="Times New Roman" w:eastAsia="方正仿宋_GBK" w:cs="Times New Roman"/>
          <w:kern w:val="2"/>
          <w:sz w:val="32"/>
          <w:szCs w:val="32"/>
          <w:highlight w:val="none"/>
          <w:lang w:val="en-US" w:eastAsia="zh-CN" w:bidi="ar-SA"/>
        </w:rPr>
        <w:t>号）</w:t>
      </w:r>
      <w:r>
        <w:rPr>
          <w:rFonts w:hint="default" w:ascii="Times New Roman" w:hAnsi="Times New Roman" w:eastAsia="方正仿宋_GBK" w:cs="Times New Roman"/>
          <w:color w:val="auto"/>
          <w:sz w:val="32"/>
          <w:szCs w:val="32"/>
          <w:lang w:val="en-US" w:eastAsia="zh-CN"/>
        </w:rPr>
        <w:t>，中央财政下达我省农业生产救灾资金（越冬饲草料储备）610万元。</w:t>
      </w:r>
    </w:p>
    <w:p w14:paraId="2B11EF5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2.绩效目标下达情况</w:t>
      </w:r>
    </w:p>
    <w:p w14:paraId="5A243205">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outlineLvl w:val="0"/>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我省按照《农业防灾减灾和水利救灾资金管理办法》</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财农〔2023〕13号</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《云南省农业防灾减灾和水利救灾资金管理实施细则》（云财规〔2024〕4号）等规定</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根据财政部下达预算通知，共下达我省绩效指标如下：</w:t>
      </w:r>
    </w:p>
    <w:p w14:paraId="59CCFC9C">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1）数量指标：水稻、玉米等主要粮食作物病虫害统防统治面积120.6万亩次，玉米重大病虫害生物防治面积1万亩次，跨境病虫害（黄脊竹蝗）等防控面积2万亩次，红火蚁等重大病虫疫情防控面积30万亩次，马铃薯晚疫病精准防控面积4.5万亩次，支持农作物恢复生长等≥32.24万亩，调运和储备饲草料≥3.4万吨。</w:t>
      </w:r>
    </w:p>
    <w:p w14:paraId="02428274">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（2）质量指标：防控效果为有效遏制暴发流行成灾，项目实施区统防统治覆盖率＞48%，用于农业生产救灾相关支出的比例100%。</w:t>
      </w:r>
    </w:p>
    <w:p w14:paraId="202CE097">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3）时效指标：农作物病虫害防治组织实施时效为在农作物病虫害防控期及时组织实施，救灾资金6个月内预算执行率≥80%（第五批），灾后生产恢复时效性为及时恢复正常生产，救灾资金下达3个月内预算执行率≥90%（第十一批）。</w:t>
      </w:r>
    </w:p>
    <w:p w14:paraId="77B99185">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（4）成本指标：采购物资或服务价格不超过市场价格，严格执行资金预算管理规定。</w:t>
      </w:r>
    </w:p>
    <w:p w14:paraId="0206A329">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（5）经济效益指标：减少受灾地区农作物因灾损失减少，受灾地区主要牲畜存栏量重灾区少减产、轻灾区不减产。</w:t>
      </w:r>
    </w:p>
    <w:p w14:paraId="613E8859">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（6）社会效益指标：灾区生产能力基本恢复；防灾措施保障粮食安全和农业生产安全效果为重发区域病虫害得到有效控制，农作物不出现大范围成灾绝收；灾区畜牧业生产秩序基本恢复。</w:t>
      </w:r>
    </w:p>
    <w:p w14:paraId="2FAD130D">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（7）生态效益指标：灾区畜牧业生产能力基本恢复。</w:t>
      </w:r>
    </w:p>
    <w:p w14:paraId="58BAE343">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（8）可持续影响指标：病虫害防控期内有效保持重大病虫疫情灾情监测预警能力，农民生产积极性保持稳定，农民畜牧业生产积极性保持稳定，保证主要畜禽存栏量保持稳定。</w:t>
      </w:r>
    </w:p>
    <w:p w14:paraId="2BD5D9E2">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（9）技术指导对象满意度指标：受灾农民或防治服务组织满意度≥85%（第三批、第五批）；服务群众满意度≥85%（第十一批）。</w:t>
      </w:r>
    </w:p>
    <w:p w14:paraId="3287820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楷体_GB2312" w:cs="Times New Roman"/>
          <w:b w:val="0"/>
          <w:bCs w:val="0"/>
          <w:color w:val="auto"/>
          <w:sz w:val="32"/>
          <w:szCs w:val="32"/>
          <w:highlight w:val="none"/>
          <w:lang w:eastAsia="zh-CN"/>
        </w:rPr>
      </w:pPr>
      <w:r>
        <w:rPr>
          <w:rFonts w:hint="default" w:ascii="Times New Roman" w:hAnsi="Times New Roman" w:eastAsia="方正楷体_GBK" w:cs="Times New Roman"/>
          <w:b w:val="0"/>
          <w:bCs w:val="0"/>
          <w:color w:val="auto"/>
          <w:sz w:val="32"/>
          <w:szCs w:val="32"/>
          <w:highlight w:val="none"/>
          <w:lang w:eastAsia="zh-CN"/>
        </w:rPr>
        <w:t>（二）省内分解下达预算和绩效目标情况</w:t>
      </w:r>
    </w:p>
    <w:p w14:paraId="09CBF11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1.</w:t>
      </w:r>
      <w:r>
        <w:rPr>
          <w:rFonts w:hint="eastAsia" w:ascii="Times New Roman" w:hAnsi="Times New Roman" w:eastAsia="方正仿宋_GBK" w:cs="Times New Roman"/>
          <w:b w:val="0"/>
          <w:bCs w:val="0"/>
          <w:color w:val="auto"/>
          <w:sz w:val="32"/>
          <w:szCs w:val="32"/>
          <w:highlight w:val="none"/>
          <w:lang w:val="en-US" w:eastAsia="zh-CN"/>
        </w:rPr>
        <w:t>省内分解</w:t>
      </w:r>
      <w:r>
        <w:rPr>
          <w:rFonts w:hint="default" w:ascii="Times New Roman" w:hAnsi="Times New Roman" w:eastAsia="方正仿宋_GBK" w:cs="Times New Roman"/>
          <w:b w:val="0"/>
          <w:bCs w:val="0"/>
          <w:color w:val="auto"/>
          <w:sz w:val="32"/>
          <w:szCs w:val="32"/>
          <w:highlight w:val="none"/>
          <w:lang w:eastAsia="zh-CN"/>
        </w:rPr>
        <w:t>下达</w:t>
      </w:r>
      <w:r>
        <w:rPr>
          <w:rFonts w:hint="eastAsia" w:ascii="Times New Roman" w:hAnsi="Times New Roman" w:eastAsia="方正仿宋_GBK" w:cs="Times New Roman"/>
          <w:b w:val="0"/>
          <w:bCs w:val="0"/>
          <w:color w:val="auto"/>
          <w:sz w:val="32"/>
          <w:szCs w:val="32"/>
          <w:highlight w:val="none"/>
          <w:lang w:val="en-US" w:eastAsia="zh-CN"/>
        </w:rPr>
        <w:t>预算</w:t>
      </w:r>
      <w:r>
        <w:rPr>
          <w:rFonts w:hint="default" w:ascii="Times New Roman" w:hAnsi="Times New Roman" w:eastAsia="方正仿宋_GBK" w:cs="Times New Roman"/>
          <w:b w:val="0"/>
          <w:bCs w:val="0"/>
          <w:color w:val="auto"/>
          <w:sz w:val="32"/>
          <w:szCs w:val="32"/>
          <w:highlight w:val="none"/>
          <w:lang w:eastAsia="zh-CN"/>
        </w:rPr>
        <w:t>情况</w:t>
      </w:r>
    </w:p>
    <w:p w14:paraId="0FEBBC23">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20</w:t>
      </w:r>
      <w:r>
        <w:rPr>
          <w:rFonts w:hint="default" w:ascii="Times New Roman" w:hAnsi="Times New Roman" w:eastAsia="方正仿宋_GBK" w:cs="Times New Roman"/>
          <w:b w:val="0"/>
          <w:bCs w:val="0"/>
          <w:color w:val="auto"/>
          <w:sz w:val="32"/>
          <w:szCs w:val="32"/>
          <w:highlight w:val="none"/>
          <w:lang w:val="en-US" w:eastAsia="zh-CN"/>
        </w:rPr>
        <w:t>2</w:t>
      </w:r>
      <w:r>
        <w:rPr>
          <w:rFonts w:hint="eastAsia"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eastAsia="zh-CN"/>
        </w:rPr>
        <w:t>年，我省结合实际，以</w:t>
      </w:r>
      <w:r>
        <w:rPr>
          <w:rFonts w:hint="default" w:ascii="Times New Roman" w:hAnsi="Times New Roman" w:eastAsia="方正仿宋_GBK" w:cs="Times New Roman"/>
          <w:color w:val="auto"/>
          <w:sz w:val="32"/>
          <w:szCs w:val="32"/>
          <w:lang w:val="en-US" w:eastAsia="zh-CN"/>
        </w:rPr>
        <w:t>《云南省财政厅关于下达2025年中央农业防灾减灾和水利救灾资金（防灾减灾第三批）的通知》（云财农〔2025〕75号）</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kern w:val="2"/>
          <w:sz w:val="32"/>
          <w:szCs w:val="32"/>
          <w:lang w:val="en-US" w:eastAsia="zh-CN" w:bidi="ar-SA"/>
        </w:rPr>
        <w:t>《云南省财政厅关于下达2025年中央农业防灾减灾和水利救灾资金（防灾救灾第五批）的通知》（云财农〔2025〕</w:t>
      </w:r>
      <w:r>
        <w:rPr>
          <w:rFonts w:hint="default" w:ascii="Times New Roman" w:hAnsi="Times New Roman" w:eastAsia="方正仿宋_GBK" w:cs="Times New Roman"/>
          <w:color w:val="auto"/>
          <w:kern w:val="2"/>
          <w:sz w:val="32"/>
          <w:szCs w:val="32"/>
          <w:lang w:val="en" w:eastAsia="zh-CN" w:bidi="ar-SA"/>
        </w:rPr>
        <w:t>10</w:t>
      </w:r>
      <w:r>
        <w:rPr>
          <w:rFonts w:hint="default" w:ascii="Times New Roman" w:hAnsi="Times New Roman" w:eastAsia="方正仿宋_GBK" w:cs="Times New Roman"/>
          <w:color w:val="auto"/>
          <w:kern w:val="2"/>
          <w:sz w:val="32"/>
          <w:szCs w:val="32"/>
          <w:lang w:val="en-US" w:eastAsia="zh-CN" w:bidi="ar-SA"/>
        </w:rPr>
        <w:t>0号）</w:t>
      </w:r>
      <w:r>
        <w:rPr>
          <w:rFonts w:hint="eastAsia" w:ascii="Times New Roman" w:hAnsi="Times New Roman" w:eastAsia="方正仿宋_GBK" w:cs="Times New Roman"/>
          <w:color w:val="auto"/>
          <w:kern w:val="2"/>
          <w:sz w:val="32"/>
          <w:szCs w:val="32"/>
          <w:lang w:val="en-US" w:eastAsia="zh-CN" w:bidi="ar-SA"/>
        </w:rPr>
        <w:t>、</w:t>
      </w:r>
      <w:r>
        <w:rPr>
          <w:rFonts w:hint="default" w:ascii="Times New Roman" w:hAnsi="Times New Roman" w:eastAsia="方正仿宋_GBK" w:cs="Times New Roman"/>
          <w:color w:val="auto"/>
          <w:sz w:val="32"/>
          <w:szCs w:val="32"/>
          <w:lang w:val="en-US" w:eastAsia="zh-CN"/>
        </w:rPr>
        <w:t>《云南省财政厅关于下达2025年中央农业防灾减灾和水利救灾资金（防灾救灾第十一批，越冬饲草料储备）的通知》（云财农﹝2025﹞184号）</w:t>
      </w:r>
      <w:r>
        <w:rPr>
          <w:rFonts w:hint="default" w:ascii="Times New Roman" w:hAnsi="Times New Roman" w:eastAsia="方正仿宋_GBK" w:cs="Times New Roman"/>
          <w:b w:val="0"/>
          <w:bCs w:val="0"/>
          <w:color w:val="auto"/>
          <w:sz w:val="32"/>
          <w:szCs w:val="32"/>
          <w:highlight w:val="none"/>
          <w:lang w:eastAsia="zh-CN"/>
        </w:rPr>
        <w:t>将</w:t>
      </w:r>
      <w:r>
        <w:rPr>
          <w:rFonts w:hint="eastAsia" w:ascii="Times New Roman" w:hAnsi="Times New Roman" w:eastAsia="方正仿宋_GBK" w:cs="Times New Roman"/>
          <w:b w:val="0"/>
          <w:bCs w:val="0"/>
          <w:color w:val="auto"/>
          <w:sz w:val="32"/>
          <w:szCs w:val="32"/>
          <w:highlight w:val="none"/>
          <w:lang w:val="en-US" w:eastAsia="zh-CN"/>
        </w:rPr>
        <w:t>3批次</w:t>
      </w:r>
      <w:r>
        <w:rPr>
          <w:rFonts w:hint="default" w:ascii="Times New Roman" w:hAnsi="Times New Roman" w:eastAsia="方正仿宋_GBK" w:cs="Times New Roman"/>
          <w:b w:val="0"/>
          <w:bCs w:val="0"/>
          <w:color w:val="auto"/>
          <w:sz w:val="32"/>
          <w:szCs w:val="32"/>
          <w:highlight w:val="none"/>
          <w:lang w:eastAsia="zh-CN"/>
        </w:rPr>
        <w:t>中央资金</w:t>
      </w:r>
      <w:r>
        <w:rPr>
          <w:rFonts w:hint="eastAsia" w:ascii="Times New Roman" w:hAnsi="Times New Roman" w:eastAsia="方正仿宋_GBK" w:cs="Times New Roman"/>
          <w:b w:val="0"/>
          <w:bCs w:val="0"/>
          <w:color w:val="auto"/>
          <w:sz w:val="32"/>
          <w:szCs w:val="32"/>
          <w:highlight w:val="none"/>
          <w:lang w:val="en-US" w:eastAsia="zh-CN"/>
        </w:rPr>
        <w:t>6790</w:t>
      </w:r>
      <w:r>
        <w:rPr>
          <w:rFonts w:hint="default" w:ascii="Times New Roman" w:hAnsi="Times New Roman" w:eastAsia="方正仿宋_GBK" w:cs="Times New Roman"/>
          <w:b w:val="0"/>
          <w:bCs w:val="0"/>
          <w:color w:val="auto"/>
          <w:sz w:val="32"/>
          <w:szCs w:val="32"/>
          <w:highlight w:val="none"/>
          <w:lang w:eastAsia="zh-CN"/>
        </w:rPr>
        <w:t>万元，以及我省编制上报的资金区域绩效目标分解下达，各项目资金下达情况如下表。</w:t>
      </w:r>
    </w:p>
    <w:p w14:paraId="6ADA0290">
      <w:pPr>
        <w:keepNext w:val="0"/>
        <w:keepLines w:val="0"/>
        <w:pageBreakBefore w:val="0"/>
        <w:kinsoku/>
        <w:wordWrap/>
        <w:overflowPunct/>
        <w:topLinePunct w:val="0"/>
        <w:autoSpaceDE/>
        <w:autoSpaceDN/>
        <w:bidi w:val="0"/>
        <w:adjustRightInd/>
        <w:snapToGrid/>
        <w:spacing w:line="600" w:lineRule="exact"/>
        <w:ind w:left="0"/>
        <w:jc w:val="center"/>
        <w:rPr>
          <w:rFonts w:hint="default"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云南省202</w:t>
      </w:r>
      <w:r>
        <w:rPr>
          <w:rFonts w:hint="eastAsia" w:ascii="Times New Roman" w:hAnsi="Times New Roman" w:eastAsia="黑体" w:cs="Times New Roman"/>
          <w:b w:val="0"/>
          <w:bCs w:val="0"/>
          <w:color w:val="auto"/>
          <w:sz w:val="28"/>
          <w:szCs w:val="28"/>
          <w:highlight w:val="none"/>
          <w:lang w:val="en-US" w:eastAsia="zh-CN"/>
        </w:rPr>
        <w:t>5</w:t>
      </w:r>
      <w:r>
        <w:rPr>
          <w:rFonts w:hint="default" w:ascii="Times New Roman" w:hAnsi="Times New Roman" w:eastAsia="黑体" w:cs="Times New Roman"/>
          <w:b w:val="0"/>
          <w:bCs w:val="0"/>
          <w:color w:val="auto"/>
          <w:sz w:val="28"/>
          <w:szCs w:val="28"/>
          <w:highlight w:val="none"/>
          <w:lang w:val="en-US" w:eastAsia="zh-CN"/>
        </w:rPr>
        <w:t>年度</w:t>
      </w:r>
      <w:r>
        <w:rPr>
          <w:rFonts w:hint="eastAsia" w:ascii="Times New Roman" w:hAnsi="Times New Roman" w:eastAsia="黑体" w:cs="Times New Roman"/>
          <w:b w:val="0"/>
          <w:bCs w:val="0"/>
          <w:color w:val="auto"/>
          <w:sz w:val="28"/>
          <w:szCs w:val="28"/>
          <w:highlight w:val="none"/>
          <w:lang w:val="en-US" w:eastAsia="zh-CN"/>
        </w:rPr>
        <w:t>中央</w:t>
      </w:r>
      <w:r>
        <w:rPr>
          <w:rFonts w:hint="default" w:ascii="Times New Roman" w:hAnsi="Times New Roman" w:eastAsia="黑体" w:cs="Times New Roman"/>
          <w:b w:val="0"/>
          <w:bCs w:val="0"/>
          <w:color w:val="auto"/>
          <w:sz w:val="28"/>
          <w:szCs w:val="28"/>
          <w:highlight w:val="none"/>
          <w:lang w:val="en-US" w:eastAsia="zh-CN"/>
        </w:rPr>
        <w:t>农业防灾减灾和水利救灾资金下达情况表</w:t>
      </w:r>
    </w:p>
    <w:p w14:paraId="41F1B052">
      <w:pPr>
        <w:keepNext w:val="0"/>
        <w:keepLines w:val="0"/>
        <w:pageBreakBefore w:val="0"/>
        <w:kinsoku/>
        <w:wordWrap/>
        <w:overflowPunct/>
        <w:topLinePunct w:val="0"/>
        <w:autoSpaceDE/>
        <w:autoSpaceDN/>
        <w:bidi w:val="0"/>
        <w:adjustRightInd/>
        <w:snapToGrid/>
        <w:spacing w:line="600" w:lineRule="exact"/>
        <w:ind w:left="0" w:firstLine="560" w:firstLineChars="200"/>
        <w:rPr>
          <w:rFonts w:hint="default" w:ascii="Times New Roman" w:hAnsi="Times New Roman" w:eastAsia="方正仿宋_GBK" w:cs="Times New Roman"/>
          <w:b w:val="0"/>
          <w:bCs w:val="0"/>
          <w:color w:val="auto"/>
          <w:sz w:val="24"/>
          <w:szCs w:val="24"/>
          <w:highlight w:val="none"/>
          <w:lang w:eastAsia="zh-CN"/>
        </w:rPr>
      </w:pPr>
      <w:r>
        <w:rPr>
          <w:rFonts w:hint="default" w:ascii="Times New Roman" w:hAnsi="Times New Roman" w:eastAsia="方正仿宋_GBK" w:cs="Times New Roman"/>
          <w:b w:val="0"/>
          <w:bCs w:val="0"/>
          <w:color w:val="auto"/>
          <w:sz w:val="28"/>
          <w:szCs w:val="28"/>
          <w:highlight w:val="none"/>
          <w:lang w:eastAsia="zh-CN"/>
        </w:rPr>
        <w:t>　　　　　　　　　　　　　　　　　　　　</w:t>
      </w:r>
      <w:r>
        <w:rPr>
          <w:rFonts w:hint="default" w:ascii="Times New Roman" w:hAnsi="Times New Roman" w:eastAsia="方正仿宋_GBK" w:cs="Times New Roman"/>
          <w:b w:val="0"/>
          <w:bCs w:val="0"/>
          <w:color w:val="auto"/>
          <w:sz w:val="28"/>
          <w:szCs w:val="28"/>
          <w:highlight w:val="none"/>
          <w:lang w:val="en-US" w:eastAsia="zh-CN"/>
        </w:rPr>
        <w:t xml:space="preserve">     </w:t>
      </w:r>
      <w:r>
        <w:rPr>
          <w:rFonts w:hint="default" w:ascii="Times New Roman" w:hAnsi="Times New Roman" w:eastAsia="方正仿宋_GBK" w:cs="Times New Roman"/>
          <w:b w:val="0"/>
          <w:bCs w:val="0"/>
          <w:color w:val="auto"/>
          <w:sz w:val="24"/>
          <w:szCs w:val="24"/>
          <w:highlight w:val="none"/>
          <w:lang w:val="en-US" w:eastAsia="zh-CN"/>
        </w:rPr>
        <w:t xml:space="preserve"> </w:t>
      </w:r>
      <w:r>
        <w:rPr>
          <w:rFonts w:hint="default" w:ascii="Times New Roman" w:hAnsi="Times New Roman" w:eastAsia="方正仿宋_GBK" w:cs="Times New Roman"/>
          <w:b w:val="0"/>
          <w:bCs w:val="0"/>
          <w:color w:val="auto"/>
          <w:sz w:val="24"/>
          <w:szCs w:val="24"/>
          <w:highlight w:val="none"/>
          <w:lang w:eastAsia="zh-CN"/>
        </w:rPr>
        <w:t>单位：万元</w:t>
      </w:r>
    </w:p>
    <w:tbl>
      <w:tblPr>
        <w:tblStyle w:val="7"/>
        <w:tblW w:w="0" w:type="auto"/>
        <w:jc w:val="center"/>
        <w:tblLayout w:type="fixed"/>
        <w:tblCellMar>
          <w:top w:w="0" w:type="dxa"/>
          <w:left w:w="0" w:type="dxa"/>
          <w:bottom w:w="0" w:type="dxa"/>
          <w:right w:w="0" w:type="dxa"/>
        </w:tblCellMar>
      </w:tblPr>
      <w:tblGrid>
        <w:gridCol w:w="899"/>
        <w:gridCol w:w="4565"/>
        <w:gridCol w:w="2746"/>
      </w:tblGrid>
      <w:tr w14:paraId="45F9AE7D">
        <w:tblPrEx>
          <w:tblCellMar>
            <w:top w:w="0" w:type="dxa"/>
            <w:left w:w="0" w:type="dxa"/>
            <w:bottom w:w="0" w:type="dxa"/>
            <w:right w:w="0" w:type="dxa"/>
          </w:tblCellMar>
        </w:tblPrEx>
        <w:trPr>
          <w:trHeight w:val="486"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DC43A4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序号</w:t>
            </w:r>
          </w:p>
        </w:tc>
        <w:tc>
          <w:tcPr>
            <w:tcW w:w="456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829ED9C">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项目资金名称</w:t>
            </w:r>
          </w:p>
        </w:tc>
        <w:tc>
          <w:tcPr>
            <w:tcW w:w="274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DB6706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仿宋_GB2312" w:cs="Times New Roman"/>
                <w:b/>
                <w:bCs/>
                <w:i w:val="0"/>
                <w:color w:val="auto"/>
                <w:sz w:val="24"/>
                <w:szCs w:val="24"/>
                <w:highlight w:val="none"/>
                <w:u w:val="none"/>
              </w:rPr>
            </w:pPr>
            <w:r>
              <w:rPr>
                <w:rFonts w:hint="default" w:ascii="Times New Roman" w:hAnsi="Times New Roman" w:eastAsia="方正仿宋_GBK" w:cs="Times New Roman"/>
                <w:b/>
                <w:bCs/>
                <w:i w:val="0"/>
                <w:color w:val="auto"/>
                <w:kern w:val="0"/>
                <w:sz w:val="24"/>
                <w:szCs w:val="24"/>
                <w:highlight w:val="none"/>
                <w:u w:val="none"/>
                <w:lang w:val="en-US" w:eastAsia="zh-CN" w:bidi="ar"/>
              </w:rPr>
              <w:t>省级下达金额</w:t>
            </w:r>
          </w:p>
        </w:tc>
      </w:tr>
      <w:tr w14:paraId="29630DC5">
        <w:tblPrEx>
          <w:tblCellMar>
            <w:top w:w="0" w:type="dxa"/>
            <w:left w:w="0" w:type="dxa"/>
            <w:bottom w:w="0" w:type="dxa"/>
            <w:right w:w="0" w:type="dxa"/>
          </w:tblCellMar>
        </w:tblPrEx>
        <w:trPr>
          <w:trHeight w:val="474"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1BEAA5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456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FC1B6D">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应对病虫害（防灾减灾第三批）</w:t>
            </w:r>
          </w:p>
        </w:tc>
        <w:tc>
          <w:tcPr>
            <w:tcW w:w="274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587CE42">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3980</w:t>
            </w:r>
          </w:p>
        </w:tc>
      </w:tr>
      <w:tr w14:paraId="75D0EC20">
        <w:tblPrEx>
          <w:tblCellMar>
            <w:top w:w="0" w:type="dxa"/>
            <w:left w:w="0" w:type="dxa"/>
            <w:bottom w:w="0" w:type="dxa"/>
            <w:right w:w="0" w:type="dxa"/>
          </w:tblCellMar>
        </w:tblPrEx>
        <w:trPr>
          <w:trHeight w:val="405"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5B3F4A9">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2</w:t>
            </w:r>
          </w:p>
        </w:tc>
        <w:tc>
          <w:tcPr>
            <w:tcW w:w="456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71A45EF">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洪涝（防灾救灾第五批）</w:t>
            </w:r>
          </w:p>
        </w:tc>
        <w:tc>
          <w:tcPr>
            <w:tcW w:w="274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D418C4C">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sz w:val="24"/>
                <w:szCs w:val="24"/>
                <w:highlight w:val="none"/>
                <w:u w:val="none"/>
                <w:lang w:val="en-US" w:eastAsia="zh-CN"/>
              </w:rPr>
              <w:t>2200</w:t>
            </w:r>
          </w:p>
        </w:tc>
      </w:tr>
      <w:tr w14:paraId="41721752">
        <w:tblPrEx>
          <w:tblCellMar>
            <w:top w:w="0" w:type="dxa"/>
            <w:left w:w="0" w:type="dxa"/>
            <w:bottom w:w="0" w:type="dxa"/>
            <w:right w:w="0" w:type="dxa"/>
          </w:tblCellMar>
        </w:tblPrEx>
        <w:trPr>
          <w:trHeight w:val="461" w:hRule="atLeast"/>
          <w:jc w:val="center"/>
        </w:trPr>
        <w:tc>
          <w:tcPr>
            <w:tcW w:w="89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0DBA26B">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w:t>
            </w:r>
          </w:p>
        </w:tc>
        <w:tc>
          <w:tcPr>
            <w:tcW w:w="456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2660A1C">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越冬饲草料储备</w:t>
            </w:r>
          </w:p>
        </w:tc>
        <w:tc>
          <w:tcPr>
            <w:tcW w:w="274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157F024">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610</w:t>
            </w:r>
          </w:p>
        </w:tc>
      </w:tr>
      <w:tr w14:paraId="521E6C56">
        <w:tblPrEx>
          <w:tblCellMar>
            <w:top w:w="0" w:type="dxa"/>
            <w:left w:w="0" w:type="dxa"/>
            <w:bottom w:w="0" w:type="dxa"/>
            <w:right w:w="0" w:type="dxa"/>
          </w:tblCellMar>
        </w:tblPrEx>
        <w:trPr>
          <w:trHeight w:val="518" w:hRule="atLeast"/>
          <w:jc w:val="center"/>
        </w:trPr>
        <w:tc>
          <w:tcPr>
            <w:tcW w:w="5464"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7AF023">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bCs w:val="0"/>
                <w:i w:val="0"/>
                <w:color w:val="auto"/>
                <w:kern w:val="0"/>
                <w:sz w:val="24"/>
                <w:szCs w:val="24"/>
                <w:highlight w:val="none"/>
                <w:u w:val="none"/>
                <w:lang w:val="en-US" w:eastAsia="zh-CN" w:bidi="ar"/>
              </w:rPr>
            </w:pPr>
            <w:r>
              <w:rPr>
                <w:rFonts w:hint="default" w:ascii="Times New Roman" w:hAnsi="Times New Roman" w:eastAsia="方正仿宋_GBK" w:cs="Times New Roman"/>
                <w:b/>
                <w:bCs w:val="0"/>
                <w:i w:val="0"/>
                <w:color w:val="auto"/>
                <w:kern w:val="0"/>
                <w:sz w:val="24"/>
                <w:szCs w:val="24"/>
                <w:highlight w:val="none"/>
                <w:u w:val="none"/>
                <w:lang w:val="en-US" w:eastAsia="zh-CN" w:bidi="ar"/>
              </w:rPr>
              <w:t>合计</w:t>
            </w:r>
          </w:p>
        </w:tc>
        <w:tc>
          <w:tcPr>
            <w:tcW w:w="274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09D989D">
            <w:pPr>
              <w:keepNext w:val="0"/>
              <w:keepLines w:val="0"/>
              <w:pageBreakBefore w:val="0"/>
              <w:widowControl/>
              <w:suppressLineNumbers w:val="0"/>
              <w:kinsoku/>
              <w:wordWrap/>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bCs w:val="0"/>
                <w:i w:val="0"/>
                <w:color w:val="auto"/>
                <w:kern w:val="0"/>
                <w:sz w:val="24"/>
                <w:szCs w:val="24"/>
                <w:highlight w:val="none"/>
                <w:u w:val="none"/>
                <w:lang w:val="en-US" w:eastAsia="zh-CN" w:bidi="ar"/>
              </w:rPr>
            </w:pPr>
            <w:r>
              <w:rPr>
                <w:rFonts w:hint="eastAsia" w:ascii="Times New Roman" w:hAnsi="Times New Roman" w:eastAsia="方正仿宋_GBK" w:cs="Times New Roman"/>
                <w:b/>
                <w:bCs w:val="0"/>
                <w:i w:val="0"/>
                <w:color w:val="auto"/>
                <w:kern w:val="0"/>
                <w:sz w:val="24"/>
                <w:szCs w:val="24"/>
                <w:highlight w:val="none"/>
                <w:u w:val="none"/>
                <w:lang w:val="en-US" w:eastAsia="zh-CN" w:bidi="ar"/>
              </w:rPr>
              <w:t>6790</w:t>
            </w:r>
          </w:p>
        </w:tc>
      </w:tr>
    </w:tbl>
    <w:p w14:paraId="5D531DC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w:t>
      </w:r>
      <w:r>
        <w:rPr>
          <w:rFonts w:hint="eastAsia" w:ascii="Times New Roman" w:hAnsi="Times New Roman" w:eastAsia="方正仿宋_GBK" w:cs="Times New Roman"/>
          <w:b w:val="0"/>
          <w:bCs w:val="0"/>
          <w:color w:val="auto"/>
          <w:sz w:val="32"/>
          <w:szCs w:val="32"/>
          <w:highlight w:val="none"/>
          <w:lang w:val="en-US" w:eastAsia="zh-CN"/>
        </w:rPr>
        <w:t>省内</w:t>
      </w:r>
      <w:r>
        <w:rPr>
          <w:rFonts w:hint="default" w:ascii="Times New Roman" w:hAnsi="Times New Roman" w:eastAsia="方正仿宋_GBK" w:cs="Times New Roman"/>
          <w:b w:val="0"/>
          <w:bCs w:val="0"/>
          <w:color w:val="auto"/>
          <w:sz w:val="32"/>
          <w:szCs w:val="32"/>
          <w:highlight w:val="none"/>
          <w:lang w:eastAsia="zh-CN"/>
        </w:rPr>
        <w:t>绩效目标下达情况</w:t>
      </w:r>
    </w:p>
    <w:p w14:paraId="68F4351B">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1）数量指标：水稻、玉米等主要粮食作物病虫害统防统治面积120.6万亩次，玉米重大病虫害生物防治面积1万亩次，跨境病虫害（黄脊竹蝗）等防控面积2万亩次，红火蚁等重大病虫疫情防控面积30万亩次，马铃薯晚疫病精准防控面积4.5万亩次，支持农作物恢复生长等≥32.24万亩，调运和储备饲草料≥3.4万吨。</w:t>
      </w:r>
    </w:p>
    <w:p w14:paraId="11EF4F9C">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（2）质量指标：防控效果为有效遏制暴发流行成灾，项目实施区统防统治覆盖率＞48%，项目实施区农药包装废弃物回收率≥90%，用于农业生产救灾相关支出的比例100%。</w:t>
      </w:r>
    </w:p>
    <w:p w14:paraId="263ADF1E">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（3）时效指标：农作物病虫害防治组织实施时效为在农作物病虫害防控期及时组织实施，救灾资金6个月内预算执行率≥80%，灾后生产恢复时效性为及时恢复正常生产，救灾资金下达3个月内预算执行率≥90%。</w:t>
      </w:r>
    </w:p>
    <w:p w14:paraId="7C8CD624">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（4）成本指标：采购物资或服务价格不超过市场价格，严格执行资金预算管理规定。</w:t>
      </w:r>
    </w:p>
    <w:p w14:paraId="48F29E74">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（5）经济效益指标：减少受灾地区农作物因灾损失减少，受灾地区主要牲畜存栏量重灾区少减产、轻灾区不减产。</w:t>
      </w:r>
    </w:p>
    <w:p w14:paraId="6EF4189F">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（6）社会效益指标：灾区生产能力基本恢复；防灾措施保障粮食安全和农业生产安全效果为重发区域病虫害得到有效控制，农作物不出现大范围成灾绝收；灾区畜牧业生产秩序基本恢复。</w:t>
      </w:r>
    </w:p>
    <w:p w14:paraId="2DA35F65">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（7）生态效益指标：灾区畜牧业生产能力基本恢复。</w:t>
      </w:r>
    </w:p>
    <w:p w14:paraId="5C187948">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（8）可持续影响指标：病虫害防控期内有效保持重大病虫疫情灾情监测预警能力，农民生产积极性保持稳定，农民畜牧业生产积极性保持稳定，保证主要畜禽存栏量保持稳定。</w:t>
      </w:r>
    </w:p>
    <w:p w14:paraId="02C6218B">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黑体_GBK" w:hAnsi="方正黑体_GBK" w:eastAsia="方正黑体_GBK" w:cs="方正黑体_GBK"/>
          <w:b w:val="0"/>
          <w:bCs w:val="0"/>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（9）技术指导对象满意度指标：受灾农民或防治服务组织满意度≥85%；服务群众满意度≥85%。</w:t>
      </w:r>
    </w:p>
    <w:p w14:paraId="33E3A2A4">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方正黑体_GBK" w:hAnsi="方正黑体_GBK" w:eastAsia="方正黑体_GBK" w:cs="方正黑体_GBK"/>
          <w:b w:val="0"/>
          <w:bCs w:val="0"/>
          <w:snapToGrid/>
          <w:color w:val="auto"/>
          <w:kern w:val="2"/>
          <w:sz w:val="32"/>
          <w:szCs w:val="32"/>
          <w:lang w:val="en-US" w:eastAsia="zh-CN" w:bidi="ar-SA"/>
        </w:rPr>
        <w:t>二、绩效情况分析</w:t>
      </w:r>
    </w:p>
    <w:p w14:paraId="7AF12102">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楷体_GBK" w:hAnsi="方正楷体_GBK" w:eastAsia="方正楷体_GBK" w:cs="方正楷体_GBK"/>
          <w:snapToGrid/>
          <w:color w:val="auto"/>
          <w:kern w:val="2"/>
          <w:sz w:val="32"/>
          <w:szCs w:val="32"/>
          <w:lang w:val="en-US" w:eastAsia="zh-CN" w:bidi="ar-SA"/>
        </w:rPr>
      </w:pPr>
      <w:r>
        <w:rPr>
          <w:rFonts w:hint="eastAsia" w:ascii="方正楷体_GBK" w:hAnsi="方正楷体_GBK" w:eastAsia="方正楷体_GBK" w:cs="方正楷体_GBK"/>
          <w:snapToGrid/>
          <w:color w:val="auto"/>
          <w:kern w:val="2"/>
          <w:sz w:val="32"/>
          <w:szCs w:val="32"/>
          <w:lang w:val="en-US" w:eastAsia="zh-CN" w:bidi="ar-SA"/>
        </w:rPr>
        <w:t>（一）资金投入情况分析</w:t>
      </w:r>
    </w:p>
    <w:p w14:paraId="2A2B53F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eastAsia" w:ascii="Times New Roman" w:hAnsi="Times New Roman" w:eastAsia="方正仿宋_GBK" w:cs="Times New Roman"/>
          <w:b w:val="0"/>
          <w:bCs w:val="0"/>
          <w:color w:val="auto"/>
          <w:sz w:val="32"/>
          <w:szCs w:val="32"/>
          <w:highlight w:val="none"/>
          <w:lang w:val="en-US" w:eastAsia="zh-CN"/>
        </w:rPr>
        <w:t>1.项目资金到位情况分析</w:t>
      </w:r>
    </w:p>
    <w:p w14:paraId="4725282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val="0"/>
          <w:color w:val="auto"/>
          <w:sz w:val="32"/>
          <w:szCs w:val="32"/>
          <w:highlight w:val="none"/>
          <w:lang w:eastAsia="zh-CN"/>
        </w:rPr>
      </w:pPr>
      <w:r>
        <w:rPr>
          <w:rFonts w:hint="default" w:ascii="Times New Roman" w:hAnsi="Times New Roman" w:eastAsia="方正仿宋_GBK" w:cs="Times New Roman"/>
          <w:b w:val="0"/>
          <w:bCs w:val="0"/>
          <w:color w:val="auto"/>
          <w:sz w:val="32"/>
          <w:szCs w:val="32"/>
          <w:highlight w:val="none"/>
          <w:lang w:eastAsia="zh-CN"/>
        </w:rPr>
        <w:t>20</w:t>
      </w:r>
      <w:r>
        <w:rPr>
          <w:rFonts w:hint="default" w:ascii="Times New Roman" w:hAnsi="Times New Roman" w:eastAsia="方正仿宋_GBK" w:cs="Times New Roman"/>
          <w:b w:val="0"/>
          <w:bCs w:val="0"/>
          <w:color w:val="auto"/>
          <w:sz w:val="32"/>
          <w:szCs w:val="32"/>
          <w:highlight w:val="none"/>
          <w:lang w:val="en-US" w:eastAsia="zh-CN"/>
        </w:rPr>
        <w:t>2</w:t>
      </w:r>
      <w:r>
        <w:rPr>
          <w:rFonts w:hint="eastAsia"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eastAsia="zh-CN"/>
        </w:rPr>
        <w:t>年，中央下达云南省20</w:t>
      </w:r>
      <w:r>
        <w:rPr>
          <w:rFonts w:hint="default" w:ascii="Times New Roman" w:hAnsi="Times New Roman" w:eastAsia="方正仿宋_GBK" w:cs="Times New Roman"/>
          <w:b w:val="0"/>
          <w:bCs w:val="0"/>
          <w:color w:val="auto"/>
          <w:sz w:val="32"/>
          <w:szCs w:val="32"/>
          <w:highlight w:val="none"/>
          <w:lang w:val="en-US" w:eastAsia="zh-CN"/>
        </w:rPr>
        <w:t>25</w:t>
      </w:r>
      <w:r>
        <w:rPr>
          <w:rFonts w:hint="default" w:ascii="Times New Roman" w:hAnsi="Times New Roman" w:eastAsia="方正仿宋_GBK" w:cs="Times New Roman"/>
          <w:b w:val="0"/>
          <w:bCs w:val="0"/>
          <w:color w:val="auto"/>
          <w:sz w:val="32"/>
          <w:szCs w:val="32"/>
          <w:highlight w:val="none"/>
          <w:lang w:eastAsia="zh-CN"/>
        </w:rPr>
        <w:t>年</w:t>
      </w:r>
      <w:r>
        <w:rPr>
          <w:rFonts w:hint="default" w:ascii="Times New Roman" w:hAnsi="Times New Roman" w:eastAsia="方正仿宋_GBK" w:cs="Times New Roman"/>
          <w:b w:val="0"/>
          <w:bCs w:val="0"/>
          <w:color w:val="auto"/>
          <w:sz w:val="32"/>
          <w:szCs w:val="32"/>
          <w:highlight w:val="none"/>
          <w:lang w:val="en-US" w:eastAsia="zh-CN"/>
        </w:rPr>
        <w:t>农业防灾减灾和水利救灾资金</w:t>
      </w:r>
      <w:r>
        <w:rPr>
          <w:rFonts w:hint="eastAsia" w:ascii="Times New Roman" w:hAnsi="Times New Roman" w:eastAsia="方正仿宋_GBK" w:cs="Times New Roman"/>
          <w:b w:val="0"/>
          <w:bCs w:val="0"/>
          <w:color w:val="auto"/>
          <w:sz w:val="32"/>
          <w:szCs w:val="32"/>
          <w:highlight w:val="none"/>
          <w:lang w:val="en-US" w:eastAsia="zh-CN"/>
        </w:rPr>
        <w:t>（动物防疫补助除外）6790</w:t>
      </w:r>
      <w:r>
        <w:rPr>
          <w:rFonts w:hint="default" w:ascii="Times New Roman" w:hAnsi="Times New Roman" w:eastAsia="方正仿宋_GBK" w:cs="Times New Roman"/>
          <w:b w:val="0"/>
          <w:bCs w:val="0"/>
          <w:color w:val="auto"/>
          <w:sz w:val="32"/>
          <w:szCs w:val="32"/>
          <w:highlight w:val="none"/>
          <w:lang w:eastAsia="zh-CN"/>
        </w:rPr>
        <w:t>万元，我省以</w:t>
      </w:r>
      <w:r>
        <w:rPr>
          <w:rFonts w:hint="default" w:ascii="Times New Roman" w:hAnsi="Times New Roman" w:eastAsia="方正仿宋_GBK" w:cs="Times New Roman"/>
          <w:color w:val="auto"/>
          <w:sz w:val="32"/>
          <w:szCs w:val="32"/>
          <w:lang w:val="en-US" w:eastAsia="zh-CN"/>
        </w:rPr>
        <w:t>《云南省财政厅关于下达2025年中央农业防灾减灾和水利救灾资金（防灾减灾第三批）的通知》（云财农〔2025〕75号）</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kern w:val="2"/>
          <w:sz w:val="32"/>
          <w:szCs w:val="32"/>
          <w:lang w:val="en-US" w:eastAsia="zh-CN" w:bidi="ar-SA"/>
        </w:rPr>
        <w:t>《云南省财政厅关于下达2025年中央农业防灾减灾和水利救灾资金（防灾救灾第五批）的通知》（云财农〔2025〕</w:t>
      </w:r>
      <w:r>
        <w:rPr>
          <w:rFonts w:hint="default" w:ascii="Times New Roman" w:hAnsi="Times New Roman" w:eastAsia="方正仿宋_GBK" w:cs="Times New Roman"/>
          <w:color w:val="auto"/>
          <w:kern w:val="2"/>
          <w:sz w:val="32"/>
          <w:szCs w:val="32"/>
          <w:lang w:val="en" w:eastAsia="zh-CN" w:bidi="ar-SA"/>
        </w:rPr>
        <w:t>10</w:t>
      </w:r>
      <w:r>
        <w:rPr>
          <w:rFonts w:hint="default" w:ascii="Times New Roman" w:hAnsi="Times New Roman" w:eastAsia="方正仿宋_GBK" w:cs="Times New Roman"/>
          <w:color w:val="auto"/>
          <w:kern w:val="2"/>
          <w:sz w:val="32"/>
          <w:szCs w:val="32"/>
          <w:lang w:val="en-US" w:eastAsia="zh-CN" w:bidi="ar-SA"/>
        </w:rPr>
        <w:t>0号）</w:t>
      </w:r>
      <w:r>
        <w:rPr>
          <w:rFonts w:hint="eastAsia" w:ascii="Times New Roman" w:hAnsi="Times New Roman" w:eastAsia="方正仿宋_GBK" w:cs="Times New Roman"/>
          <w:color w:val="auto"/>
          <w:kern w:val="2"/>
          <w:sz w:val="32"/>
          <w:szCs w:val="32"/>
          <w:lang w:val="en-US" w:eastAsia="zh-CN" w:bidi="ar-SA"/>
        </w:rPr>
        <w:t>、</w:t>
      </w:r>
      <w:r>
        <w:rPr>
          <w:rFonts w:hint="default" w:ascii="Times New Roman" w:hAnsi="Times New Roman" w:eastAsia="方正仿宋_GBK" w:cs="Times New Roman"/>
          <w:color w:val="auto"/>
          <w:sz w:val="32"/>
          <w:szCs w:val="32"/>
          <w:lang w:val="en-US" w:eastAsia="zh-CN"/>
        </w:rPr>
        <w:t>《云南省财政厅关于下达2025年中央农业防灾减灾和水利救灾资金（防灾救灾第十一批，越冬饲草料储备）的通知》（云财农﹝2025﹞184号）</w:t>
      </w:r>
      <w:r>
        <w:rPr>
          <w:rFonts w:hint="default" w:ascii="Times New Roman" w:hAnsi="Times New Roman" w:eastAsia="方正仿宋_GBK" w:cs="Times New Roman"/>
          <w:b w:val="0"/>
          <w:bCs w:val="0"/>
          <w:color w:val="auto"/>
          <w:sz w:val="32"/>
          <w:szCs w:val="32"/>
          <w:highlight w:val="none"/>
          <w:lang w:eastAsia="zh-CN"/>
        </w:rPr>
        <w:t>将</w:t>
      </w:r>
      <w:r>
        <w:rPr>
          <w:rFonts w:hint="eastAsia" w:ascii="Times New Roman" w:hAnsi="Times New Roman" w:eastAsia="方正仿宋_GBK" w:cs="Times New Roman"/>
          <w:b w:val="0"/>
          <w:bCs w:val="0"/>
          <w:color w:val="auto"/>
          <w:sz w:val="32"/>
          <w:szCs w:val="32"/>
          <w:highlight w:val="none"/>
          <w:lang w:val="en-US" w:eastAsia="zh-CN"/>
        </w:rPr>
        <w:t>3批次</w:t>
      </w:r>
      <w:r>
        <w:rPr>
          <w:rFonts w:hint="default" w:ascii="Times New Roman" w:hAnsi="Times New Roman" w:eastAsia="方正仿宋_GBK" w:cs="Times New Roman"/>
          <w:b w:val="0"/>
          <w:bCs w:val="0"/>
          <w:color w:val="auto"/>
          <w:sz w:val="32"/>
          <w:szCs w:val="32"/>
          <w:highlight w:val="none"/>
          <w:lang w:eastAsia="zh-CN"/>
        </w:rPr>
        <w:t>中央资金</w:t>
      </w:r>
      <w:r>
        <w:rPr>
          <w:rFonts w:hint="eastAsia" w:ascii="Times New Roman" w:hAnsi="Times New Roman" w:eastAsia="方正仿宋_GBK" w:cs="Times New Roman"/>
          <w:b w:val="0"/>
          <w:bCs w:val="0"/>
          <w:color w:val="auto"/>
          <w:sz w:val="32"/>
          <w:szCs w:val="32"/>
          <w:highlight w:val="none"/>
          <w:lang w:val="en-US" w:eastAsia="zh-CN"/>
        </w:rPr>
        <w:t>6790</w:t>
      </w:r>
      <w:r>
        <w:rPr>
          <w:rFonts w:hint="default" w:ascii="Times New Roman" w:hAnsi="Times New Roman" w:eastAsia="方正仿宋_GBK" w:cs="Times New Roman"/>
          <w:b w:val="0"/>
          <w:bCs w:val="0"/>
          <w:color w:val="auto"/>
          <w:sz w:val="32"/>
          <w:szCs w:val="32"/>
          <w:highlight w:val="none"/>
          <w:lang w:eastAsia="zh-CN"/>
        </w:rPr>
        <w:t>万元全部下达至各地，资金</w:t>
      </w:r>
      <w:r>
        <w:rPr>
          <w:rFonts w:hint="default" w:ascii="Times New Roman" w:hAnsi="Times New Roman" w:eastAsia="方正仿宋_GBK" w:cs="Times New Roman"/>
          <w:b w:val="0"/>
          <w:bCs w:val="0"/>
          <w:color w:val="auto"/>
          <w:sz w:val="32"/>
          <w:szCs w:val="32"/>
          <w:highlight w:val="none"/>
          <w:lang w:val="en-US" w:eastAsia="zh-CN"/>
        </w:rPr>
        <w:t>到位率100%</w:t>
      </w:r>
      <w:r>
        <w:rPr>
          <w:rFonts w:hint="default" w:ascii="Times New Roman" w:hAnsi="Times New Roman" w:eastAsia="方正仿宋_GBK" w:cs="Times New Roman"/>
          <w:b w:val="0"/>
          <w:bCs w:val="0"/>
          <w:color w:val="auto"/>
          <w:sz w:val="32"/>
          <w:szCs w:val="32"/>
          <w:highlight w:val="none"/>
          <w:lang w:eastAsia="zh-CN"/>
        </w:rPr>
        <w:t>。</w:t>
      </w:r>
    </w:p>
    <w:p w14:paraId="7806557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2.项目资金执行情况分析</w:t>
      </w:r>
    </w:p>
    <w:p w14:paraId="6A3FD5F5">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Times New Roman" w:hAnsi="Times New Roman" w:eastAsia="方正仿宋_GBK" w:cs="Times New Roman"/>
          <w:color w:val="auto"/>
          <w:sz w:val="32"/>
          <w:szCs w:val="32"/>
          <w:highlight w:val="none"/>
          <w:lang w:eastAsia="zh-CN"/>
        </w:rPr>
      </w:pPr>
      <w:r>
        <w:rPr>
          <w:rFonts w:hint="default" w:ascii="Times New Roman" w:hAnsi="Times New Roman" w:eastAsia="方正仿宋_GBK" w:cs="Times New Roman"/>
          <w:bCs/>
          <w:color w:val="auto"/>
          <w:sz w:val="32"/>
          <w:szCs w:val="32"/>
          <w:highlight w:val="none"/>
        </w:rPr>
        <w:t>截</w:t>
      </w:r>
      <w:r>
        <w:rPr>
          <w:rFonts w:hint="default" w:ascii="Times New Roman" w:hAnsi="Times New Roman" w:eastAsia="方正仿宋_GBK" w:cs="Times New Roman"/>
          <w:bCs/>
          <w:color w:val="auto"/>
          <w:sz w:val="32"/>
          <w:szCs w:val="32"/>
          <w:highlight w:val="none"/>
          <w:lang w:eastAsia="zh-CN"/>
        </w:rPr>
        <w:t>至绩效评价日</w:t>
      </w:r>
      <w:r>
        <w:rPr>
          <w:rFonts w:hint="default" w:ascii="Times New Roman" w:hAnsi="Times New Roman" w:eastAsia="方正仿宋_GBK" w:cs="Times New Roman"/>
          <w:bCs/>
          <w:color w:val="auto"/>
          <w:sz w:val="32"/>
          <w:szCs w:val="32"/>
          <w:highlight w:val="none"/>
        </w:rPr>
        <w:t>，我省</w:t>
      </w:r>
      <w:r>
        <w:rPr>
          <w:rFonts w:hint="eastAsia" w:ascii="Times New Roman" w:hAnsi="Times New Roman" w:eastAsia="方正仿宋_GBK" w:cs="Times New Roman"/>
          <w:bCs/>
          <w:color w:val="auto"/>
          <w:sz w:val="32"/>
          <w:szCs w:val="32"/>
          <w:highlight w:val="none"/>
          <w:lang w:val="en-US" w:eastAsia="zh-CN"/>
        </w:rPr>
        <w:t>3批次</w:t>
      </w:r>
      <w:r>
        <w:rPr>
          <w:rFonts w:hint="default" w:ascii="Times New Roman" w:hAnsi="Times New Roman" w:eastAsia="方正仿宋_GBK" w:cs="Times New Roman"/>
          <w:color w:val="auto"/>
          <w:kern w:val="2"/>
          <w:sz w:val="32"/>
          <w:szCs w:val="32"/>
          <w:lang w:val="en-US" w:eastAsia="zh-CN" w:bidi="ar-SA"/>
        </w:rPr>
        <w:t>农业防灾减灾和水利救灾资金</w:t>
      </w:r>
      <w:r>
        <w:rPr>
          <w:rFonts w:hint="default" w:ascii="Times New Roman" w:hAnsi="Times New Roman" w:eastAsia="方正仿宋_GBK" w:cs="Times New Roman"/>
          <w:bCs/>
          <w:color w:val="auto"/>
          <w:sz w:val="32"/>
          <w:szCs w:val="32"/>
          <w:highlight w:val="none"/>
          <w:lang w:eastAsia="zh-CN"/>
        </w:rPr>
        <w:t>支出</w:t>
      </w:r>
      <w:r>
        <w:rPr>
          <w:rFonts w:hint="eastAsia" w:ascii="Times New Roman" w:hAnsi="Times New Roman" w:eastAsia="方正仿宋_GBK" w:cs="Times New Roman"/>
          <w:b w:val="0"/>
          <w:bCs w:val="0"/>
          <w:i w:val="0"/>
          <w:color w:val="auto"/>
          <w:kern w:val="0"/>
          <w:sz w:val="32"/>
          <w:szCs w:val="32"/>
          <w:highlight w:val="none"/>
          <w:u w:val="none"/>
          <w:lang w:val="en-US" w:eastAsia="zh-CN" w:bidi="ar"/>
        </w:rPr>
        <w:t>3617.35</w:t>
      </w:r>
      <w:r>
        <w:rPr>
          <w:rFonts w:hint="default" w:ascii="Times New Roman" w:hAnsi="Times New Roman" w:eastAsia="方正仿宋_GBK" w:cs="Times New Roman"/>
          <w:bCs/>
          <w:color w:val="auto"/>
          <w:sz w:val="32"/>
          <w:szCs w:val="32"/>
          <w:highlight w:val="none"/>
          <w:lang w:val="en-US" w:eastAsia="zh-CN"/>
        </w:rPr>
        <w:t>万元</w:t>
      </w:r>
      <w:r>
        <w:rPr>
          <w:rFonts w:hint="default" w:ascii="Times New Roman" w:hAnsi="Times New Roman" w:eastAsia="方正仿宋_GBK" w:cs="Times New Roman"/>
          <w:bCs/>
          <w:color w:val="auto"/>
          <w:sz w:val="32"/>
          <w:szCs w:val="32"/>
          <w:highlight w:val="none"/>
          <w:lang w:eastAsia="zh-CN"/>
        </w:rPr>
        <w:t>、执行</w:t>
      </w:r>
      <w:r>
        <w:rPr>
          <w:rFonts w:hint="default" w:ascii="Times New Roman" w:hAnsi="Times New Roman" w:eastAsia="方正仿宋_GBK" w:cs="Times New Roman"/>
          <w:bCs/>
          <w:color w:val="auto"/>
          <w:sz w:val="32"/>
          <w:szCs w:val="32"/>
          <w:highlight w:val="none"/>
        </w:rPr>
        <w:t>率</w:t>
      </w:r>
      <w:r>
        <w:rPr>
          <w:rFonts w:hint="eastAsia" w:ascii="Times New Roman" w:hAnsi="Times New Roman" w:eastAsia="方正仿宋_GBK" w:cs="Times New Roman"/>
          <w:bCs/>
          <w:color w:val="auto"/>
          <w:sz w:val="32"/>
          <w:szCs w:val="32"/>
          <w:highlight w:val="none"/>
          <w:lang w:val="en-US" w:eastAsia="zh-CN"/>
        </w:rPr>
        <w:t>53.27</w:t>
      </w:r>
      <w:r>
        <w:rPr>
          <w:rFonts w:hint="default" w:ascii="Times New Roman" w:hAnsi="Times New Roman" w:eastAsia="方正仿宋_GBK" w:cs="Times New Roman"/>
          <w:bCs/>
          <w:color w:val="auto"/>
          <w:sz w:val="32"/>
          <w:szCs w:val="32"/>
          <w:highlight w:val="none"/>
          <w:lang w:val="en-US" w:eastAsia="zh-CN"/>
        </w:rPr>
        <w:t>%</w:t>
      </w:r>
      <w:r>
        <w:rPr>
          <w:rFonts w:hint="default" w:ascii="Times New Roman" w:hAnsi="Times New Roman" w:eastAsia="方正仿宋_GBK" w:cs="Times New Roman"/>
          <w:bCs/>
          <w:color w:val="auto"/>
          <w:sz w:val="32"/>
          <w:szCs w:val="32"/>
          <w:highlight w:val="none"/>
          <w:lang w:eastAsia="zh-CN"/>
        </w:rPr>
        <w:t>。各项目</w:t>
      </w:r>
      <w:r>
        <w:rPr>
          <w:rFonts w:hint="default" w:ascii="Times New Roman" w:hAnsi="Times New Roman" w:eastAsia="方正仿宋_GBK" w:cs="Times New Roman"/>
          <w:bCs/>
          <w:color w:val="auto"/>
          <w:sz w:val="32"/>
          <w:szCs w:val="32"/>
          <w:highlight w:val="none"/>
        </w:rPr>
        <w:t>资金</w:t>
      </w:r>
      <w:r>
        <w:rPr>
          <w:rFonts w:hint="default" w:ascii="Times New Roman" w:hAnsi="Times New Roman" w:eastAsia="方正仿宋_GBK" w:cs="Times New Roman"/>
          <w:bCs/>
          <w:color w:val="auto"/>
          <w:sz w:val="32"/>
          <w:szCs w:val="32"/>
          <w:highlight w:val="none"/>
          <w:lang w:eastAsia="zh-CN"/>
        </w:rPr>
        <w:t>执行情况见下表。</w:t>
      </w:r>
    </w:p>
    <w:p w14:paraId="4E69012F">
      <w:pPr>
        <w:keepNext w:val="0"/>
        <w:keepLines w:val="0"/>
        <w:pageBreakBefore w:val="0"/>
        <w:widowControl w:val="0"/>
        <w:kinsoku/>
        <w:wordWrap/>
        <w:overflowPunct/>
        <w:topLinePunct w:val="0"/>
        <w:autoSpaceDE/>
        <w:autoSpaceDN/>
        <w:bidi w:val="0"/>
        <w:adjustRightInd/>
        <w:snapToGrid/>
        <w:spacing w:line="600" w:lineRule="exact"/>
        <w:ind w:left="0" w:right="0" w:rightChars="0"/>
        <w:jc w:val="center"/>
        <w:textAlignment w:val="auto"/>
        <w:outlineLvl w:val="9"/>
        <w:rPr>
          <w:rFonts w:hint="default"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云南省202</w:t>
      </w:r>
      <w:r>
        <w:rPr>
          <w:rFonts w:hint="eastAsia" w:ascii="Times New Roman" w:hAnsi="Times New Roman" w:eastAsia="黑体" w:cs="Times New Roman"/>
          <w:b w:val="0"/>
          <w:bCs w:val="0"/>
          <w:color w:val="auto"/>
          <w:sz w:val="28"/>
          <w:szCs w:val="28"/>
          <w:highlight w:val="none"/>
          <w:lang w:val="en-US" w:eastAsia="zh-CN"/>
        </w:rPr>
        <w:t>5</w:t>
      </w:r>
      <w:r>
        <w:rPr>
          <w:rFonts w:hint="default" w:ascii="Times New Roman" w:hAnsi="Times New Roman" w:eastAsia="黑体" w:cs="Times New Roman"/>
          <w:b w:val="0"/>
          <w:bCs w:val="0"/>
          <w:color w:val="auto"/>
          <w:sz w:val="28"/>
          <w:szCs w:val="28"/>
          <w:highlight w:val="none"/>
          <w:lang w:val="en-US" w:eastAsia="zh-CN"/>
        </w:rPr>
        <w:t>年度中央农业防灾减灾和水利救灾资金使用情况表</w:t>
      </w:r>
    </w:p>
    <w:p w14:paraId="4025AC96">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default" w:ascii="Times New Roman" w:hAnsi="Times New Roman" w:eastAsia="方正仿宋_GBK" w:cs="Times New Roman"/>
          <w:b w:val="0"/>
          <w:bCs w:val="0"/>
          <w:color w:val="auto"/>
          <w:sz w:val="24"/>
          <w:szCs w:val="24"/>
          <w:highlight w:val="none"/>
          <w:lang w:val="en-US" w:eastAsia="zh-CN"/>
        </w:rPr>
      </w:pPr>
      <w:r>
        <w:rPr>
          <w:rFonts w:hint="default" w:ascii="Times New Roman" w:hAnsi="Times New Roman" w:eastAsia="方正仿宋_GBK" w:cs="Times New Roman"/>
          <w:b w:val="0"/>
          <w:bCs w:val="0"/>
          <w:color w:val="auto"/>
          <w:sz w:val="28"/>
          <w:szCs w:val="28"/>
          <w:highlight w:val="none"/>
          <w:lang w:eastAsia="zh-CN"/>
        </w:rPr>
        <w:t>　　　　　　　　　　　　　　　　　　　　</w:t>
      </w:r>
      <w:r>
        <w:rPr>
          <w:rFonts w:hint="default" w:ascii="Times New Roman" w:hAnsi="Times New Roman" w:eastAsia="方正仿宋_GBK" w:cs="Times New Roman"/>
          <w:b w:val="0"/>
          <w:bCs w:val="0"/>
          <w:color w:val="auto"/>
          <w:sz w:val="28"/>
          <w:szCs w:val="28"/>
          <w:highlight w:val="none"/>
          <w:lang w:val="en-US" w:eastAsia="zh-CN"/>
        </w:rPr>
        <w:t xml:space="preserve">    </w:t>
      </w:r>
      <w:r>
        <w:rPr>
          <w:rFonts w:hint="default" w:ascii="Times New Roman" w:hAnsi="Times New Roman" w:eastAsia="方正仿宋_GBK" w:cs="Times New Roman"/>
          <w:b w:val="0"/>
          <w:bCs w:val="0"/>
          <w:color w:val="auto"/>
          <w:sz w:val="24"/>
          <w:szCs w:val="24"/>
          <w:highlight w:val="none"/>
          <w:lang w:val="en-US" w:eastAsia="zh-CN"/>
        </w:rPr>
        <w:t xml:space="preserve">  单位：万元</w:t>
      </w:r>
    </w:p>
    <w:tbl>
      <w:tblPr>
        <w:tblStyle w:val="7"/>
        <w:tblW w:w="8168" w:type="dxa"/>
        <w:jc w:val="center"/>
        <w:tblLayout w:type="fixed"/>
        <w:tblCellMar>
          <w:top w:w="0" w:type="dxa"/>
          <w:left w:w="0" w:type="dxa"/>
          <w:bottom w:w="0" w:type="dxa"/>
          <w:right w:w="0" w:type="dxa"/>
        </w:tblCellMar>
      </w:tblPr>
      <w:tblGrid>
        <w:gridCol w:w="704"/>
        <w:gridCol w:w="3402"/>
        <w:gridCol w:w="1501"/>
        <w:gridCol w:w="1479"/>
        <w:gridCol w:w="1082"/>
      </w:tblGrid>
      <w:tr w14:paraId="46071DFF">
        <w:tblPrEx>
          <w:tblCellMar>
            <w:top w:w="0" w:type="dxa"/>
            <w:left w:w="0" w:type="dxa"/>
            <w:bottom w:w="0" w:type="dxa"/>
            <w:right w:w="0" w:type="dxa"/>
          </w:tblCellMar>
        </w:tblPrEx>
        <w:trPr>
          <w:trHeight w:val="1086"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1913AC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b/>
                <w:bCs/>
                <w:i w:val="0"/>
                <w:color w:val="auto"/>
                <w:sz w:val="24"/>
                <w:szCs w:val="24"/>
                <w:highlight w:val="none"/>
                <w:u w:val="none"/>
              </w:rPr>
            </w:pPr>
            <w:r>
              <w:rPr>
                <w:rFonts w:hint="default" w:ascii="Times New Roman" w:hAnsi="Times New Roman" w:eastAsia="方正仿宋_GBK" w:cs="Times New Roman"/>
                <w:b/>
                <w:i w:val="0"/>
                <w:color w:val="auto"/>
                <w:kern w:val="0"/>
                <w:sz w:val="24"/>
                <w:szCs w:val="24"/>
                <w:highlight w:val="none"/>
                <w:u w:val="none"/>
                <w:lang w:val="en-US" w:eastAsia="zh-CN" w:bidi="ar"/>
              </w:rPr>
              <w:t>序号</w:t>
            </w:r>
          </w:p>
        </w:tc>
        <w:tc>
          <w:tcPr>
            <w:tcW w:w="340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C29DA4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b/>
                <w:bCs/>
                <w:i w:val="0"/>
                <w:color w:val="auto"/>
                <w:sz w:val="24"/>
                <w:szCs w:val="24"/>
                <w:highlight w:val="none"/>
                <w:u w:val="none"/>
              </w:rPr>
            </w:pPr>
            <w:r>
              <w:rPr>
                <w:rFonts w:hint="default" w:ascii="Times New Roman" w:hAnsi="Times New Roman" w:eastAsia="方正仿宋_GBK" w:cs="Times New Roman"/>
                <w:b/>
                <w:i w:val="0"/>
                <w:color w:val="auto"/>
                <w:kern w:val="0"/>
                <w:sz w:val="24"/>
                <w:szCs w:val="24"/>
                <w:highlight w:val="none"/>
                <w:u w:val="none"/>
                <w:lang w:val="en-US" w:eastAsia="zh-CN" w:bidi="ar"/>
              </w:rPr>
              <w:t>项目资金名称</w:t>
            </w:r>
          </w:p>
        </w:tc>
        <w:tc>
          <w:tcPr>
            <w:tcW w:w="150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DAF6B3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b/>
                <w:bCs/>
                <w:i w:val="0"/>
                <w:color w:val="auto"/>
                <w:sz w:val="24"/>
                <w:szCs w:val="24"/>
                <w:highlight w:val="none"/>
                <w:u w:val="none"/>
              </w:rPr>
            </w:pPr>
            <w:r>
              <w:rPr>
                <w:rFonts w:hint="default" w:ascii="Times New Roman" w:hAnsi="Times New Roman" w:eastAsia="方正仿宋_GBK" w:cs="Times New Roman"/>
                <w:b/>
                <w:i w:val="0"/>
                <w:color w:val="auto"/>
                <w:kern w:val="0"/>
                <w:sz w:val="24"/>
                <w:szCs w:val="24"/>
                <w:highlight w:val="none"/>
                <w:u w:val="none"/>
                <w:lang w:val="en-US" w:eastAsia="zh-CN" w:bidi="ar"/>
              </w:rPr>
              <w:t>省级下达金额</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0188E2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b/>
                <w:bCs/>
                <w:i w:val="0"/>
                <w:color w:val="auto"/>
                <w:kern w:val="0"/>
                <w:sz w:val="24"/>
                <w:szCs w:val="24"/>
                <w:highlight w:val="none"/>
                <w:u w:val="none"/>
                <w:lang w:val="en-US" w:eastAsia="zh-CN" w:bidi="ar"/>
              </w:rPr>
            </w:pPr>
            <w:r>
              <w:rPr>
                <w:rFonts w:hint="default" w:ascii="Times New Roman" w:hAnsi="Times New Roman" w:eastAsia="方正仿宋_GBK" w:cs="Times New Roman"/>
                <w:b/>
                <w:i w:val="0"/>
                <w:color w:val="auto"/>
                <w:kern w:val="0"/>
                <w:sz w:val="24"/>
                <w:szCs w:val="24"/>
                <w:highlight w:val="none"/>
                <w:u w:val="none"/>
                <w:lang w:val="en-US" w:eastAsia="zh-CN" w:bidi="ar"/>
              </w:rPr>
              <w:t>资金支出金额</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EECC0E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b/>
                <w:bCs/>
                <w:i w:val="0"/>
                <w:color w:val="auto"/>
                <w:kern w:val="0"/>
                <w:sz w:val="24"/>
                <w:szCs w:val="24"/>
                <w:highlight w:val="none"/>
                <w:u w:val="none"/>
                <w:lang w:val="en-US" w:eastAsia="zh-CN" w:bidi="ar"/>
              </w:rPr>
            </w:pPr>
            <w:r>
              <w:rPr>
                <w:rFonts w:hint="default" w:ascii="Times New Roman" w:hAnsi="Times New Roman" w:eastAsia="方正仿宋_GBK" w:cs="Times New Roman"/>
                <w:b/>
                <w:i w:val="0"/>
                <w:color w:val="auto"/>
                <w:kern w:val="0"/>
                <w:sz w:val="24"/>
                <w:szCs w:val="24"/>
                <w:highlight w:val="none"/>
                <w:u w:val="none"/>
                <w:lang w:val="en-US" w:eastAsia="zh-CN" w:bidi="ar"/>
              </w:rPr>
              <w:t>执行率</w:t>
            </w:r>
          </w:p>
        </w:tc>
      </w:tr>
      <w:tr w14:paraId="1FF726F3">
        <w:tblPrEx>
          <w:tblCellMar>
            <w:top w:w="0" w:type="dxa"/>
            <w:left w:w="0" w:type="dxa"/>
            <w:bottom w:w="0" w:type="dxa"/>
            <w:right w:w="0" w:type="dxa"/>
          </w:tblCellMar>
        </w:tblPrEx>
        <w:trPr>
          <w:trHeight w:val="405"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B86A24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340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F435399">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jc w:val="left"/>
              <w:textAlignment w:val="center"/>
              <w:rPr>
                <w:rFonts w:hint="eastAsia" w:ascii="Times New Roman" w:hAnsi="Times New Roman" w:eastAsia="方正仿宋_GBK" w:cs="Times New Roman"/>
                <w:i w:val="0"/>
                <w:color w:val="auto"/>
                <w:sz w:val="24"/>
                <w:szCs w:val="24"/>
                <w:highlight w:val="none"/>
                <w:u w:val="none"/>
                <w:lang w:eastAsia="zh-CN"/>
              </w:rPr>
            </w:pPr>
            <w:r>
              <w:rPr>
                <w:rFonts w:hint="default" w:ascii="Times New Roman" w:hAnsi="Times New Roman" w:eastAsia="方正仿宋_GBK" w:cs="Times New Roman"/>
                <w:i w:val="0"/>
                <w:color w:val="auto"/>
                <w:kern w:val="0"/>
                <w:sz w:val="24"/>
                <w:szCs w:val="24"/>
                <w:highlight w:val="none"/>
                <w:u w:val="none"/>
                <w:lang w:val="en-US" w:eastAsia="zh-CN" w:bidi="ar"/>
              </w:rPr>
              <w:t>应对病虫害（防灾减灾第三批）</w:t>
            </w:r>
          </w:p>
        </w:tc>
        <w:tc>
          <w:tcPr>
            <w:tcW w:w="150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597ED1C">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b w:val="0"/>
                <w:bCs w:val="0"/>
                <w:i w:val="0"/>
                <w:color w:val="auto"/>
                <w:sz w:val="24"/>
                <w:szCs w:val="24"/>
                <w:highlight w:val="none"/>
                <w:u w:val="none"/>
                <w:lang w:val="en-US"/>
              </w:rPr>
            </w:pPr>
            <w:r>
              <w:rPr>
                <w:rFonts w:hint="eastAsia" w:ascii="Times New Roman" w:hAnsi="Times New Roman" w:eastAsia="方正仿宋_GBK" w:cs="Times New Roman"/>
                <w:i w:val="0"/>
                <w:color w:val="auto"/>
                <w:sz w:val="24"/>
                <w:szCs w:val="24"/>
                <w:highlight w:val="none"/>
                <w:u w:val="none"/>
                <w:lang w:val="en-US" w:eastAsia="zh-CN"/>
              </w:rPr>
              <w:t>3980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641E2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2566.43</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64E4DD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64.48%</w:t>
            </w:r>
          </w:p>
        </w:tc>
      </w:tr>
      <w:tr w14:paraId="60293099">
        <w:tblPrEx>
          <w:tblCellMar>
            <w:top w:w="0" w:type="dxa"/>
            <w:left w:w="0" w:type="dxa"/>
            <w:bottom w:w="0" w:type="dxa"/>
            <w:right w:w="0" w:type="dxa"/>
          </w:tblCellMar>
        </w:tblPrEx>
        <w:trPr>
          <w:trHeight w:val="496"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EEC510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2</w:t>
            </w:r>
          </w:p>
        </w:tc>
        <w:tc>
          <w:tcPr>
            <w:tcW w:w="340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66018B4">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jc w:val="left"/>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洪涝（防灾救灾第五批）</w:t>
            </w:r>
          </w:p>
        </w:tc>
        <w:tc>
          <w:tcPr>
            <w:tcW w:w="150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0F372E5">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sz w:val="24"/>
                <w:szCs w:val="24"/>
                <w:highlight w:val="none"/>
                <w:u w:val="none"/>
                <w:lang w:val="en-US" w:eastAsia="zh-CN"/>
              </w:rPr>
              <w:t>2200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07EBD2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1050.92</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5A937B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47.77%</w:t>
            </w:r>
          </w:p>
        </w:tc>
      </w:tr>
      <w:tr w14:paraId="0179DE83">
        <w:tblPrEx>
          <w:tblCellMar>
            <w:top w:w="0" w:type="dxa"/>
            <w:left w:w="0" w:type="dxa"/>
            <w:bottom w:w="0" w:type="dxa"/>
            <w:right w:w="0" w:type="dxa"/>
          </w:tblCellMar>
        </w:tblPrEx>
        <w:trPr>
          <w:trHeight w:val="496" w:hRule="atLeast"/>
          <w:jc w:val="center"/>
        </w:trPr>
        <w:tc>
          <w:tcPr>
            <w:tcW w:w="70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9A63B2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3</w:t>
            </w:r>
          </w:p>
        </w:tc>
        <w:tc>
          <w:tcPr>
            <w:tcW w:w="340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C1251EF">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jc w:val="left"/>
              <w:textAlignment w:val="center"/>
              <w:rPr>
                <w:rFonts w:hint="eastAsia" w:ascii="Times New Roman" w:hAnsi="Times New Roman" w:eastAsia="方正仿宋_GBK" w:cs="Times New Roman"/>
                <w:i w:val="0"/>
                <w:color w:val="auto"/>
                <w:sz w:val="24"/>
                <w:szCs w:val="24"/>
                <w:highlight w:val="none"/>
                <w:u w:val="none"/>
                <w:lang w:eastAsia="zh-CN"/>
              </w:rPr>
            </w:pPr>
            <w:r>
              <w:rPr>
                <w:rFonts w:hint="default" w:ascii="Times New Roman" w:hAnsi="Times New Roman" w:eastAsia="方正仿宋_GBK" w:cs="Times New Roman"/>
                <w:i w:val="0"/>
                <w:color w:val="auto"/>
                <w:kern w:val="0"/>
                <w:sz w:val="24"/>
                <w:szCs w:val="24"/>
                <w:highlight w:val="none"/>
                <w:u w:val="none"/>
                <w:lang w:val="en-US" w:eastAsia="zh-CN" w:bidi="ar"/>
              </w:rPr>
              <w:t>越冬饲草料储备</w:t>
            </w:r>
          </w:p>
        </w:tc>
        <w:tc>
          <w:tcPr>
            <w:tcW w:w="150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C0F674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eastAsia" w:ascii="Times New Roman" w:hAnsi="Times New Roman" w:eastAsia="方正仿宋_GBK" w:cs="Times New Roman"/>
                <w:i w:val="0"/>
                <w:color w:val="auto"/>
                <w:sz w:val="24"/>
                <w:szCs w:val="24"/>
                <w:highlight w:val="none"/>
                <w:u w:val="none"/>
                <w:lang w:val="en-US" w:eastAsia="zh-CN"/>
              </w:rPr>
            </w:pPr>
            <w:r>
              <w:rPr>
                <w:rFonts w:hint="eastAsia" w:ascii="Times New Roman" w:hAnsi="Times New Roman" w:eastAsia="方正仿宋_GBK" w:cs="Times New Roman"/>
                <w:i w:val="0"/>
                <w:color w:val="auto"/>
                <w:kern w:val="0"/>
                <w:sz w:val="24"/>
                <w:szCs w:val="24"/>
                <w:highlight w:val="none"/>
                <w:u w:val="none"/>
                <w:lang w:val="en-US" w:eastAsia="zh-CN" w:bidi="ar"/>
              </w:rPr>
              <w:t>610</w:t>
            </w:r>
          </w:p>
        </w:tc>
        <w:tc>
          <w:tcPr>
            <w:tcW w:w="147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95F9DD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0</w:t>
            </w:r>
          </w:p>
        </w:tc>
        <w:tc>
          <w:tcPr>
            <w:tcW w:w="10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749837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方正仿宋_GBK" w:cs="Times New Roman"/>
                <w:b w:val="0"/>
                <w:bCs w:val="0"/>
                <w:i w:val="0"/>
                <w:color w:val="auto"/>
                <w:kern w:val="0"/>
                <w:sz w:val="24"/>
                <w:szCs w:val="24"/>
                <w:highlight w:val="none"/>
                <w:u w:val="none"/>
                <w:lang w:val="en-US" w:eastAsia="zh-CN" w:bidi="ar"/>
              </w:rPr>
            </w:pPr>
            <w:r>
              <w:rPr>
                <w:rFonts w:hint="eastAsia" w:ascii="Times New Roman" w:hAnsi="Times New Roman" w:eastAsia="方正仿宋_GBK" w:cs="Times New Roman"/>
                <w:b w:val="0"/>
                <w:bCs w:val="0"/>
                <w:i w:val="0"/>
                <w:color w:val="auto"/>
                <w:kern w:val="0"/>
                <w:sz w:val="24"/>
                <w:szCs w:val="24"/>
                <w:highlight w:val="none"/>
                <w:u w:val="none"/>
                <w:lang w:val="en-US" w:eastAsia="zh-CN" w:bidi="ar"/>
              </w:rPr>
              <w:t>0%</w:t>
            </w:r>
          </w:p>
        </w:tc>
      </w:tr>
    </w:tbl>
    <w:p w14:paraId="2CBED68E">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楷体_GBK" w:hAnsi="方正楷体_GBK" w:eastAsia="方正楷体_GBK" w:cs="方正楷体_GBK"/>
          <w:snapToGrid/>
          <w:color w:val="auto"/>
          <w:kern w:val="2"/>
          <w:sz w:val="32"/>
          <w:szCs w:val="32"/>
          <w:lang w:val="en-US" w:eastAsia="zh-CN" w:bidi="ar-SA"/>
        </w:rPr>
      </w:pPr>
      <w:r>
        <w:rPr>
          <w:rFonts w:hint="eastAsia" w:ascii="方正楷体_GBK" w:hAnsi="方正楷体_GBK" w:eastAsia="方正楷体_GBK" w:cs="方正楷体_GBK"/>
          <w:snapToGrid/>
          <w:color w:val="auto"/>
          <w:kern w:val="2"/>
          <w:sz w:val="32"/>
          <w:szCs w:val="32"/>
          <w:lang w:val="en-US" w:eastAsia="zh-CN" w:bidi="ar-SA"/>
        </w:rPr>
        <w:t>（二）资金管理情况分析</w:t>
      </w:r>
    </w:p>
    <w:p w14:paraId="23301328">
      <w:pPr>
        <w:pStyle w:val="12"/>
        <w:keepNext w:val="0"/>
        <w:keepLines w:val="0"/>
        <w:pageBreakBefore w:val="0"/>
        <w:widowControl/>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项目资金管理按照</w:t>
      </w:r>
      <w:r>
        <w:rPr>
          <w:rFonts w:hint="default" w:ascii="Times New Roman" w:hAnsi="Times New Roman" w:eastAsia="方正仿宋_GBK" w:cs="Times New Roman"/>
          <w:color w:val="auto"/>
          <w:sz w:val="32"/>
          <w:szCs w:val="32"/>
          <w:lang w:eastAsia="zh-CN"/>
        </w:rPr>
        <w:t>《财政部</w:t>
      </w:r>
      <w:r>
        <w:rPr>
          <w:rFonts w:hint="eastAsia"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lang w:eastAsia="zh-CN"/>
        </w:rPr>
        <w:t>农业农村部</w:t>
      </w:r>
      <w:r>
        <w:rPr>
          <w:rFonts w:hint="eastAsia"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lang w:eastAsia="zh-CN"/>
        </w:rPr>
        <w:t>水利部关于印发〈农业防灾减灾和水利救灾资金管理办法〉的通知》（财农〔2023〕13</w:t>
      </w:r>
      <w:r>
        <w:rPr>
          <w:rFonts w:hint="eastAsia" w:ascii="Times New Roman" w:hAnsi="Times New Roman" w:eastAsia="方正仿宋_GBK" w:cs="Times New Roman"/>
          <w:color w:val="auto"/>
          <w:sz w:val="32"/>
          <w:szCs w:val="32"/>
          <w:lang w:eastAsia="zh-CN"/>
        </w:rPr>
        <w:t>号）、</w:t>
      </w:r>
      <w:r>
        <w:rPr>
          <w:rFonts w:hint="default" w:ascii="Times New Roman" w:hAnsi="Times New Roman" w:eastAsia="方正仿宋_GBK" w:cs="Times New Roman"/>
          <w:color w:val="auto"/>
          <w:sz w:val="32"/>
          <w:szCs w:val="32"/>
        </w:rPr>
        <w:t>《云南省财政厅 云南省农业农村厅 云南省水利厅关于印发</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eastAsia="zh-CN"/>
        </w:rPr>
        <w:t>云南省农业防灾减灾和水利救灾资金管理实施细则</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eastAsia="zh-CN"/>
        </w:rPr>
        <w:t>的通知》（云财</w:t>
      </w:r>
      <w:r>
        <w:rPr>
          <w:rFonts w:hint="default" w:ascii="Times New Roman" w:hAnsi="Times New Roman" w:eastAsia="方正仿宋_GBK" w:cs="Times New Roman"/>
          <w:color w:val="auto"/>
          <w:sz w:val="32"/>
          <w:szCs w:val="32"/>
          <w:lang w:eastAsia="zh-CN"/>
        </w:rPr>
        <w:t>规〔20</w:t>
      </w:r>
      <w:r>
        <w:rPr>
          <w:rFonts w:hint="default" w:ascii="Times New Roman" w:hAnsi="Times New Roman" w:eastAsia="方正仿宋_GBK" w:cs="Times New Roman"/>
          <w:color w:val="auto"/>
          <w:sz w:val="32"/>
          <w:szCs w:val="32"/>
          <w:lang w:val="en-US" w:eastAsia="zh-CN"/>
        </w:rPr>
        <w:t>24</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lang w:eastAsia="zh-CN"/>
        </w:rPr>
        <w:t>号）</w:t>
      </w:r>
      <w:r>
        <w:rPr>
          <w:rFonts w:hint="default" w:ascii="Times New Roman" w:hAnsi="Times New Roman" w:eastAsia="方正仿宋_GBK" w:cs="Times New Roman"/>
          <w:color w:val="auto"/>
          <w:sz w:val="32"/>
          <w:szCs w:val="32"/>
          <w:lang w:eastAsia="zh-CN"/>
        </w:rPr>
        <w:t>等相关内容执行</w:t>
      </w:r>
      <w:r>
        <w:rPr>
          <w:rFonts w:hint="default" w:ascii="Times New Roman" w:hAnsi="Times New Roman" w:eastAsia="方正仿宋_GBK" w:cs="Times New Roman"/>
          <w:color w:val="auto"/>
          <w:sz w:val="32"/>
          <w:szCs w:val="32"/>
          <w:lang w:eastAsia="zh-CN"/>
        </w:rPr>
        <w:t>，实行定项、定额管理。严格执行项目立项、审批、资金的使用等程序和手续，有效执行单位财务会计制度，严格专款专用，不得挤占、挪用，确保项目资金使用不走样。根据预算绩效运行监控管理的要求，资金管理使用单位安排专人</w:t>
      </w:r>
      <w:r>
        <w:rPr>
          <w:rFonts w:hint="default" w:ascii="Times New Roman" w:hAnsi="Times New Roman" w:eastAsia="方正仿宋_GBK" w:cs="Times New Roman"/>
          <w:color w:val="auto"/>
          <w:sz w:val="32"/>
          <w:szCs w:val="32"/>
        </w:rPr>
        <w:t>分</w:t>
      </w:r>
      <w:r>
        <w:rPr>
          <w:rFonts w:hint="default" w:ascii="Times New Roman" w:hAnsi="Times New Roman" w:eastAsia="方正仿宋_GBK" w:cs="Times New Roman"/>
          <w:color w:val="auto"/>
          <w:sz w:val="32"/>
          <w:szCs w:val="32"/>
          <w:lang w:eastAsia="zh-CN"/>
        </w:rPr>
        <w:t>时段</w:t>
      </w:r>
      <w:r>
        <w:rPr>
          <w:rFonts w:hint="default" w:ascii="Times New Roman" w:hAnsi="Times New Roman" w:eastAsia="方正仿宋_GBK" w:cs="Times New Roman"/>
          <w:color w:val="auto"/>
          <w:sz w:val="32"/>
          <w:szCs w:val="32"/>
        </w:rPr>
        <w:t>跟踪问效，确保资金支出合法、合理、合规。到目前为止，未发现截留、挤占、挪用项目资金的违纪违法行为。</w:t>
      </w:r>
    </w:p>
    <w:p w14:paraId="480EEA16">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楷体_GBK" w:hAnsi="方正楷体_GBK" w:eastAsia="方正楷体_GBK" w:cs="方正楷体_GBK"/>
          <w:snapToGrid/>
          <w:color w:val="auto"/>
          <w:kern w:val="2"/>
          <w:sz w:val="32"/>
          <w:szCs w:val="32"/>
          <w:lang w:val="en-US" w:eastAsia="zh-CN" w:bidi="ar-SA"/>
        </w:rPr>
      </w:pPr>
      <w:r>
        <w:rPr>
          <w:rFonts w:hint="eastAsia" w:ascii="方正楷体_GBK" w:hAnsi="方正楷体_GBK" w:eastAsia="方正楷体_GBK" w:cs="方正楷体_GBK"/>
          <w:snapToGrid/>
          <w:color w:val="auto"/>
          <w:kern w:val="2"/>
          <w:sz w:val="32"/>
          <w:szCs w:val="32"/>
          <w:lang w:val="en-US" w:eastAsia="zh-CN" w:bidi="ar-SA"/>
        </w:rPr>
        <w:t>（三）总体绩效目标完成情况分析</w:t>
      </w:r>
    </w:p>
    <w:p w14:paraId="525AD189">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outlineLvl w:val="0"/>
        <w:rPr>
          <w:rFonts w:hint="default"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资金下达后，及时开展水稻、玉米重大病虫害及红火蚁等农作物重大病虫疫情防控；针对气象灾害及时组织开展防灾减灾工作，发放救灾农资，重发区域病虫疫情得到有效控制，有效减少受灾地区农作物因灾损失，未出现大面积绝收成灾，</w:t>
      </w:r>
      <w:r>
        <w:rPr>
          <w:rFonts w:hint="eastAsia" w:ascii="Times New Roman" w:hAnsi="Times New Roman" w:eastAsia="方正仿宋_GBK" w:cs="Times New Roman"/>
          <w:color w:val="auto"/>
          <w:sz w:val="32"/>
          <w:szCs w:val="32"/>
          <w:lang w:val="en-US" w:eastAsia="zh-CN"/>
        </w:rPr>
        <w:t>灾区畜牧业生产保持稳定，</w:t>
      </w:r>
      <w:r>
        <w:rPr>
          <w:rFonts w:hint="eastAsia" w:ascii="Times New Roman" w:hAnsi="Times New Roman" w:eastAsia="方正仿宋_GBK" w:cs="Times New Roman"/>
          <w:snapToGrid/>
          <w:color w:val="auto"/>
          <w:kern w:val="2"/>
          <w:sz w:val="32"/>
          <w:szCs w:val="32"/>
          <w:lang w:val="en-US" w:eastAsia="zh-CN" w:bidi="ar-SA"/>
        </w:rPr>
        <w:t>有力保障粮食安全和农业生产安全。</w:t>
      </w:r>
    </w:p>
    <w:p w14:paraId="696FDC47">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楷体_GBK" w:hAnsi="方正楷体_GBK" w:eastAsia="方正楷体_GBK" w:cs="方正楷体_GBK"/>
          <w:snapToGrid/>
          <w:color w:val="auto"/>
          <w:kern w:val="2"/>
          <w:sz w:val="32"/>
          <w:szCs w:val="32"/>
          <w:lang w:val="en-US" w:eastAsia="zh-CN" w:bidi="ar-SA"/>
        </w:rPr>
      </w:pPr>
      <w:r>
        <w:rPr>
          <w:rFonts w:hint="eastAsia" w:ascii="方正楷体_GBK" w:hAnsi="方正楷体_GBK" w:eastAsia="方正楷体_GBK" w:cs="方正楷体_GBK"/>
          <w:snapToGrid/>
          <w:color w:val="auto"/>
          <w:kern w:val="2"/>
          <w:sz w:val="32"/>
          <w:szCs w:val="32"/>
          <w:lang w:val="en-US" w:eastAsia="zh-CN" w:bidi="ar-SA"/>
        </w:rPr>
        <w:t>（四）绩效指标完成情况分析</w:t>
      </w:r>
    </w:p>
    <w:p w14:paraId="4EB34F7E">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eastAsia" w:ascii="Times New Roman" w:hAnsi="Times New Roman" w:eastAsia="方正仿宋_GBK" w:cs="Times New Roman"/>
          <w:b w:val="0"/>
          <w:bCs w:val="0"/>
          <w:color w:val="auto"/>
          <w:sz w:val="32"/>
          <w:szCs w:val="32"/>
          <w:highlight w:val="none"/>
          <w:lang w:val="en-US" w:eastAsia="zh-CN"/>
        </w:rPr>
        <w:t>1.</w:t>
      </w:r>
      <w:r>
        <w:rPr>
          <w:rFonts w:hint="default" w:ascii="Times New Roman" w:hAnsi="Times New Roman" w:eastAsia="方正仿宋_GBK" w:cs="Times New Roman"/>
          <w:b w:val="0"/>
          <w:bCs w:val="0"/>
          <w:color w:val="auto"/>
          <w:sz w:val="32"/>
          <w:szCs w:val="32"/>
          <w:highlight w:val="none"/>
          <w:lang w:val="en-US" w:eastAsia="zh-CN"/>
        </w:rPr>
        <w:t>数量指标：中央下达我省数量指标共</w:t>
      </w:r>
      <w:r>
        <w:rPr>
          <w:rFonts w:hint="eastAsia" w:ascii="Times New Roman" w:hAnsi="Times New Roman" w:eastAsia="方正仿宋_GBK" w:cs="Times New Roman"/>
          <w:b w:val="0"/>
          <w:bCs w:val="0"/>
          <w:color w:val="auto"/>
          <w:sz w:val="32"/>
          <w:szCs w:val="32"/>
          <w:highlight w:val="none"/>
          <w:lang w:val="en-US" w:eastAsia="zh-CN"/>
        </w:rPr>
        <w:t>7</w:t>
      </w:r>
      <w:r>
        <w:rPr>
          <w:rFonts w:hint="default" w:ascii="Times New Roman" w:hAnsi="Times New Roman" w:eastAsia="方正仿宋_GBK" w:cs="Times New Roman"/>
          <w:b w:val="0"/>
          <w:bCs w:val="0"/>
          <w:color w:val="auto"/>
          <w:sz w:val="32"/>
          <w:szCs w:val="32"/>
          <w:highlight w:val="none"/>
          <w:lang w:val="en-US" w:eastAsia="zh-CN"/>
        </w:rPr>
        <w:t>个，各项指标完成情况见下表。</w:t>
      </w:r>
    </w:p>
    <w:p w14:paraId="59EDBEA7">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云南省202</w:t>
      </w:r>
      <w:r>
        <w:rPr>
          <w:rFonts w:hint="eastAsia" w:ascii="Times New Roman" w:hAnsi="Times New Roman" w:eastAsia="黑体" w:cs="Times New Roman"/>
          <w:b w:val="0"/>
          <w:bCs w:val="0"/>
          <w:color w:val="auto"/>
          <w:sz w:val="28"/>
          <w:szCs w:val="28"/>
          <w:highlight w:val="none"/>
          <w:lang w:val="en-US" w:eastAsia="zh-CN"/>
        </w:rPr>
        <w:t>5</w:t>
      </w:r>
      <w:r>
        <w:rPr>
          <w:rFonts w:hint="default" w:ascii="Times New Roman" w:hAnsi="Times New Roman" w:eastAsia="黑体" w:cs="Times New Roman"/>
          <w:b w:val="0"/>
          <w:bCs w:val="0"/>
          <w:color w:val="auto"/>
          <w:sz w:val="28"/>
          <w:szCs w:val="28"/>
          <w:highlight w:val="none"/>
          <w:lang w:val="en-US" w:eastAsia="zh-CN"/>
        </w:rPr>
        <w:t>年度中央下达农业防灾减灾和水利救灾</w:t>
      </w:r>
      <w:r>
        <w:rPr>
          <w:rFonts w:hint="eastAsia" w:ascii="Times New Roman" w:hAnsi="Times New Roman" w:eastAsia="黑体" w:cs="Times New Roman"/>
          <w:b w:val="0"/>
          <w:bCs w:val="0"/>
          <w:color w:val="auto"/>
          <w:sz w:val="28"/>
          <w:szCs w:val="28"/>
          <w:highlight w:val="none"/>
          <w:lang w:val="en-US" w:eastAsia="zh-CN"/>
        </w:rPr>
        <w:t>资金</w:t>
      </w:r>
    </w:p>
    <w:p w14:paraId="7BA04040">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default"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lang w:val="en-US" w:eastAsia="zh-CN"/>
        </w:rPr>
        <w:t>数量指标完成情况表</w:t>
      </w:r>
    </w:p>
    <w:tbl>
      <w:tblPr>
        <w:tblStyle w:val="7"/>
        <w:tblW w:w="4999" w:type="pct"/>
        <w:tblInd w:w="0" w:type="dxa"/>
        <w:tblLayout w:type="autofit"/>
        <w:tblCellMar>
          <w:top w:w="0" w:type="dxa"/>
          <w:left w:w="0" w:type="dxa"/>
          <w:bottom w:w="0" w:type="dxa"/>
          <w:right w:w="0" w:type="dxa"/>
        </w:tblCellMar>
      </w:tblPr>
      <w:tblGrid>
        <w:gridCol w:w="4763"/>
        <w:gridCol w:w="2057"/>
        <w:gridCol w:w="1514"/>
      </w:tblGrid>
      <w:tr w14:paraId="602FAF88">
        <w:tblPrEx>
          <w:tblCellMar>
            <w:top w:w="0" w:type="dxa"/>
            <w:left w:w="0" w:type="dxa"/>
            <w:bottom w:w="0" w:type="dxa"/>
            <w:right w:w="0" w:type="dxa"/>
          </w:tblCellMar>
        </w:tblPrEx>
        <w:trPr>
          <w:trHeight w:val="522"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39F830">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bCs/>
                <w:i w:val="0"/>
                <w:color w:val="auto"/>
                <w:kern w:val="0"/>
                <w:sz w:val="24"/>
                <w:szCs w:val="24"/>
                <w:highlight w:val="none"/>
                <w:u w:val="none"/>
                <w:lang w:val="en-US" w:eastAsia="zh-CN" w:bidi="ar"/>
              </w:rPr>
            </w:pPr>
            <w:r>
              <w:rPr>
                <w:rFonts w:hint="default" w:ascii="Times New Roman" w:hAnsi="Times New Roman" w:eastAsia="方正仿宋_GBK" w:cs="Times New Roman"/>
                <w:b/>
                <w:bCs/>
                <w:i w:val="0"/>
                <w:color w:val="auto"/>
                <w:kern w:val="0"/>
                <w:sz w:val="24"/>
                <w:szCs w:val="24"/>
                <w:highlight w:val="none"/>
                <w:u w:val="none"/>
                <w:lang w:val="en-US" w:eastAsia="zh-CN" w:bidi="ar"/>
              </w:rPr>
              <w:t>数量指标</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168F6B">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bCs/>
                <w:i w:val="0"/>
                <w:color w:val="auto"/>
                <w:kern w:val="0"/>
                <w:sz w:val="24"/>
                <w:szCs w:val="24"/>
                <w:highlight w:val="none"/>
                <w:u w:val="none"/>
                <w:lang w:val="en-US" w:eastAsia="zh-CN" w:bidi="ar"/>
              </w:rPr>
            </w:pPr>
            <w:r>
              <w:rPr>
                <w:rFonts w:hint="default" w:ascii="Times New Roman" w:hAnsi="Times New Roman" w:eastAsia="方正仿宋_GBK" w:cs="Times New Roman"/>
                <w:b/>
                <w:bCs/>
                <w:i w:val="0"/>
                <w:color w:val="auto"/>
                <w:kern w:val="0"/>
                <w:sz w:val="24"/>
                <w:szCs w:val="24"/>
                <w:highlight w:val="none"/>
                <w:u w:val="none"/>
                <w:lang w:val="en-US" w:eastAsia="zh-CN" w:bidi="ar"/>
              </w:rPr>
              <w:t>年度指标值</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10A973">
            <w:pPr>
              <w:keepNext w:val="0"/>
              <w:keepLines w:val="0"/>
              <w:pageBreakBefore w:val="0"/>
              <w:widowControl/>
              <w:suppressLineNumbers w:val="0"/>
              <w:kinsoku/>
              <w:overflowPunct/>
              <w:topLinePunct w:val="0"/>
              <w:autoSpaceDE/>
              <w:autoSpaceDN/>
              <w:bidi w:val="0"/>
              <w:adjustRightInd/>
              <w:snapToGrid/>
              <w:spacing w:line="600" w:lineRule="exact"/>
              <w:ind w:left="0"/>
              <w:jc w:val="center"/>
              <w:textAlignment w:val="center"/>
              <w:rPr>
                <w:rFonts w:hint="default" w:ascii="Times New Roman" w:hAnsi="Times New Roman" w:eastAsia="方正仿宋_GBK" w:cs="Times New Roman"/>
                <w:b/>
                <w:bCs/>
                <w:i w:val="0"/>
                <w:color w:val="auto"/>
                <w:kern w:val="0"/>
                <w:sz w:val="24"/>
                <w:szCs w:val="24"/>
                <w:highlight w:val="none"/>
                <w:u w:val="none"/>
                <w:lang w:val="en-US" w:eastAsia="zh-CN" w:bidi="ar"/>
              </w:rPr>
            </w:pPr>
            <w:r>
              <w:rPr>
                <w:rFonts w:hint="default" w:ascii="Times New Roman" w:hAnsi="Times New Roman" w:eastAsia="方正仿宋_GBK" w:cs="Times New Roman"/>
                <w:b/>
                <w:bCs/>
                <w:i w:val="0"/>
                <w:color w:val="auto"/>
                <w:kern w:val="0"/>
                <w:sz w:val="24"/>
                <w:szCs w:val="24"/>
                <w:highlight w:val="none"/>
                <w:u w:val="none"/>
                <w:lang w:val="en-US" w:eastAsia="zh-CN" w:bidi="ar"/>
              </w:rPr>
              <w:t>全年完成值</w:t>
            </w:r>
          </w:p>
        </w:tc>
      </w:tr>
      <w:tr w14:paraId="0F89E691">
        <w:tblPrEx>
          <w:tblCellMar>
            <w:top w:w="0" w:type="dxa"/>
            <w:left w:w="0" w:type="dxa"/>
            <w:bottom w:w="0" w:type="dxa"/>
            <w:right w:w="0" w:type="dxa"/>
          </w:tblCellMar>
        </w:tblPrEx>
        <w:trPr>
          <w:trHeight w:val="417"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F4D7B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highlight w:val="none"/>
                <w:u w:val="none"/>
                <w:lang w:val="en-US" w:eastAsia="zh-CN" w:bidi="ar"/>
              </w:rPr>
            </w:pPr>
            <w:r>
              <w:rPr>
                <w:rFonts w:hint="default" w:ascii="Times New Roman" w:hAnsi="Times New Roman" w:eastAsia="方正仿宋_GBK" w:cs="Times New Roman"/>
                <w:i w:val="0"/>
                <w:iCs w:val="0"/>
                <w:color w:val="auto"/>
                <w:kern w:val="0"/>
                <w:sz w:val="24"/>
                <w:szCs w:val="24"/>
                <w:highlight w:val="none"/>
                <w:u w:val="none"/>
                <w:lang w:val="en-US" w:eastAsia="zh-CN" w:bidi="ar"/>
              </w:rPr>
              <w:t>水稻、玉米等主要粮食作物病虫害统防统治面积（万亩次）</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F24FC4">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120.6</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BC35D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Times New Roman" w:hAnsi="Times New Roman" w:eastAsia="方正仿宋_GBK" w:cs="Times New Roman"/>
                <w:i w:val="0"/>
                <w:iCs w:val="0"/>
                <w:color w:val="auto"/>
                <w:kern w:val="0"/>
                <w:sz w:val="24"/>
                <w:szCs w:val="24"/>
                <w:u w:val="none"/>
                <w:lang w:val="en-US" w:eastAsia="zh-CN" w:bidi="ar"/>
              </w:rPr>
              <w:t>109.24</w:t>
            </w:r>
          </w:p>
        </w:tc>
      </w:tr>
      <w:tr w14:paraId="39BDCBA2">
        <w:tblPrEx>
          <w:tblCellMar>
            <w:top w:w="0" w:type="dxa"/>
            <w:left w:w="0" w:type="dxa"/>
            <w:bottom w:w="0" w:type="dxa"/>
            <w:right w:w="0" w:type="dxa"/>
          </w:tblCellMar>
        </w:tblPrEx>
        <w:trPr>
          <w:trHeight w:val="417"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C9554B">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highlight w:val="none"/>
                <w:u w:val="none"/>
                <w:lang w:val="en-US" w:eastAsia="zh-CN" w:bidi="ar"/>
              </w:rPr>
            </w:pPr>
            <w:r>
              <w:rPr>
                <w:rFonts w:hint="default" w:ascii="Times New Roman" w:hAnsi="Times New Roman" w:eastAsia="方正仿宋_GBK" w:cs="Times New Roman"/>
                <w:i w:val="0"/>
                <w:iCs w:val="0"/>
                <w:color w:val="auto"/>
                <w:kern w:val="0"/>
                <w:sz w:val="24"/>
                <w:szCs w:val="24"/>
                <w:highlight w:val="none"/>
                <w:u w:val="none"/>
                <w:lang w:val="en-US" w:eastAsia="zh-CN" w:bidi="ar"/>
              </w:rPr>
              <w:t>玉米重大病虫害生物防治面积（万亩次）</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1830C9">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1</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FE2F45">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Times New Roman" w:hAnsi="Times New Roman" w:eastAsia="方正仿宋_GBK" w:cs="Times New Roman"/>
                <w:i w:val="0"/>
                <w:iCs w:val="0"/>
                <w:color w:val="auto"/>
                <w:kern w:val="0"/>
                <w:sz w:val="24"/>
                <w:szCs w:val="24"/>
                <w:u w:val="none"/>
                <w:lang w:val="en-US" w:eastAsia="zh-CN" w:bidi="ar"/>
              </w:rPr>
              <w:t>0.8</w:t>
            </w:r>
          </w:p>
        </w:tc>
      </w:tr>
      <w:tr w14:paraId="6F30C400">
        <w:tblPrEx>
          <w:tblCellMar>
            <w:top w:w="0" w:type="dxa"/>
            <w:left w:w="0" w:type="dxa"/>
            <w:bottom w:w="0" w:type="dxa"/>
            <w:right w:w="0" w:type="dxa"/>
          </w:tblCellMar>
        </w:tblPrEx>
        <w:trPr>
          <w:trHeight w:val="420"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D64DA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highlight w:val="none"/>
                <w:u w:val="none"/>
                <w:lang w:val="en-US" w:eastAsia="zh-CN" w:bidi="ar"/>
              </w:rPr>
            </w:pPr>
            <w:r>
              <w:rPr>
                <w:rFonts w:hint="default" w:ascii="Times New Roman" w:hAnsi="Times New Roman" w:eastAsia="方正仿宋_GBK" w:cs="Times New Roman"/>
                <w:i w:val="0"/>
                <w:iCs w:val="0"/>
                <w:color w:val="auto"/>
                <w:kern w:val="0"/>
                <w:sz w:val="24"/>
                <w:szCs w:val="24"/>
                <w:highlight w:val="none"/>
                <w:u w:val="none"/>
                <w:lang w:val="en-US" w:eastAsia="zh-CN" w:bidi="ar"/>
              </w:rPr>
              <w:t>跨境病虫害（黄脊竹蝗）等防控面积（万亩次）</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6C7AF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2</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01BE34">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Times New Roman" w:hAnsi="Times New Roman" w:eastAsia="方正仿宋_GBK" w:cs="Times New Roman"/>
                <w:i w:val="0"/>
                <w:iCs w:val="0"/>
                <w:color w:val="auto"/>
                <w:kern w:val="0"/>
                <w:sz w:val="24"/>
                <w:szCs w:val="24"/>
                <w:u w:val="none"/>
                <w:lang w:val="en-US" w:eastAsia="zh-CN" w:bidi="ar"/>
              </w:rPr>
              <w:t>1.37</w:t>
            </w:r>
          </w:p>
        </w:tc>
      </w:tr>
      <w:tr w14:paraId="40DB3894">
        <w:tblPrEx>
          <w:tblCellMar>
            <w:top w:w="0" w:type="dxa"/>
            <w:left w:w="0" w:type="dxa"/>
            <w:bottom w:w="0" w:type="dxa"/>
            <w:right w:w="0" w:type="dxa"/>
          </w:tblCellMar>
        </w:tblPrEx>
        <w:trPr>
          <w:trHeight w:val="397"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86459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highlight w:val="none"/>
                <w:u w:val="none"/>
                <w:lang w:val="en-US" w:eastAsia="zh-CN" w:bidi="ar"/>
              </w:rPr>
            </w:pPr>
            <w:r>
              <w:rPr>
                <w:rFonts w:hint="default" w:ascii="Times New Roman" w:hAnsi="Times New Roman" w:eastAsia="方正仿宋_GBK" w:cs="Times New Roman"/>
                <w:i w:val="0"/>
                <w:iCs w:val="0"/>
                <w:color w:val="auto"/>
                <w:kern w:val="0"/>
                <w:sz w:val="24"/>
                <w:szCs w:val="24"/>
                <w:highlight w:val="none"/>
                <w:u w:val="none"/>
                <w:lang w:val="en-US" w:eastAsia="zh-CN" w:bidi="ar"/>
              </w:rPr>
              <w:t>红火蚁等重大病虫疫情防控面积（万亩次）</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F3140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30</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EDB3DC">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Times New Roman" w:hAnsi="Times New Roman" w:eastAsia="方正仿宋_GBK" w:cs="Times New Roman"/>
                <w:i w:val="0"/>
                <w:iCs w:val="0"/>
                <w:color w:val="auto"/>
                <w:kern w:val="0"/>
                <w:sz w:val="24"/>
                <w:szCs w:val="24"/>
                <w:u w:val="none"/>
                <w:lang w:val="en-US" w:eastAsia="zh-CN" w:bidi="ar"/>
              </w:rPr>
              <w:t>24.76</w:t>
            </w:r>
          </w:p>
        </w:tc>
      </w:tr>
      <w:tr w14:paraId="1165B212">
        <w:tblPrEx>
          <w:tblCellMar>
            <w:top w:w="0" w:type="dxa"/>
            <w:left w:w="0" w:type="dxa"/>
            <w:bottom w:w="0" w:type="dxa"/>
            <w:right w:w="0" w:type="dxa"/>
          </w:tblCellMar>
        </w:tblPrEx>
        <w:trPr>
          <w:trHeight w:val="416"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65A416">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highlight w:val="none"/>
                <w:u w:val="none"/>
                <w:lang w:val="en-US" w:eastAsia="zh-CN" w:bidi="ar"/>
              </w:rPr>
            </w:pPr>
            <w:r>
              <w:rPr>
                <w:rFonts w:hint="default" w:ascii="Times New Roman" w:hAnsi="Times New Roman" w:eastAsia="方正仿宋_GBK" w:cs="Times New Roman"/>
                <w:i w:val="0"/>
                <w:iCs w:val="0"/>
                <w:color w:val="auto"/>
                <w:kern w:val="0"/>
                <w:sz w:val="24"/>
                <w:szCs w:val="24"/>
                <w:highlight w:val="none"/>
                <w:u w:val="none"/>
                <w:lang w:val="en-US" w:eastAsia="zh-CN" w:bidi="ar"/>
              </w:rPr>
              <w:t>马铃薯晚疫病精准防控面积（万亩次）</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125422">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4.5</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390989">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Times New Roman" w:hAnsi="Times New Roman" w:eastAsia="方正仿宋_GBK" w:cs="Times New Roman"/>
                <w:i w:val="0"/>
                <w:iCs w:val="0"/>
                <w:color w:val="auto"/>
                <w:kern w:val="0"/>
                <w:sz w:val="24"/>
                <w:szCs w:val="24"/>
                <w:u w:val="none"/>
                <w:lang w:val="en-US" w:eastAsia="zh-CN" w:bidi="ar"/>
              </w:rPr>
              <w:t>3.14</w:t>
            </w:r>
          </w:p>
        </w:tc>
      </w:tr>
      <w:tr w14:paraId="6DC459E4">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242BBA">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highlight w:val="none"/>
                <w:u w:val="none"/>
                <w:lang w:val="en-US" w:eastAsia="zh-CN" w:bidi="ar"/>
              </w:rPr>
            </w:pPr>
            <w:r>
              <w:rPr>
                <w:rFonts w:hint="default" w:ascii="Times New Roman" w:hAnsi="Times New Roman" w:eastAsia="方正仿宋_GBK" w:cs="Times New Roman"/>
                <w:i w:val="0"/>
                <w:iCs w:val="0"/>
                <w:color w:val="auto"/>
                <w:kern w:val="0"/>
                <w:sz w:val="24"/>
                <w:szCs w:val="24"/>
                <w:highlight w:val="none"/>
                <w:u w:val="none"/>
                <w:lang w:val="en-US" w:eastAsia="zh-CN" w:bidi="ar"/>
              </w:rPr>
              <w:t>支持农作物恢复生长等≥（万亩）</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40161A">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32.24</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5F79A8">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Times New Roman" w:hAnsi="Times New Roman" w:eastAsia="方正仿宋_GBK" w:cs="Times New Roman"/>
                <w:i w:val="0"/>
                <w:iCs w:val="0"/>
                <w:color w:val="auto"/>
                <w:kern w:val="0"/>
                <w:sz w:val="24"/>
                <w:szCs w:val="24"/>
                <w:u w:val="none"/>
                <w:lang w:val="en-US" w:eastAsia="zh-CN" w:bidi="ar"/>
              </w:rPr>
              <w:t>29.9</w:t>
            </w:r>
          </w:p>
        </w:tc>
      </w:tr>
      <w:tr w14:paraId="404ADA4F">
        <w:tblPrEx>
          <w:tblCellMar>
            <w:top w:w="0" w:type="dxa"/>
            <w:left w:w="0" w:type="dxa"/>
            <w:bottom w:w="0" w:type="dxa"/>
            <w:right w:w="0" w:type="dxa"/>
          </w:tblCellMar>
        </w:tblPrEx>
        <w:trPr>
          <w:trHeight w:val="415" w:hRule="atLeast"/>
        </w:trPr>
        <w:tc>
          <w:tcPr>
            <w:tcW w:w="285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B213D1">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highlight w:val="none"/>
                <w:u w:val="none"/>
                <w:lang w:val="en-US" w:eastAsia="zh-CN" w:bidi="ar"/>
              </w:rPr>
            </w:pPr>
            <w:r>
              <w:rPr>
                <w:rFonts w:hint="default" w:ascii="Times New Roman" w:hAnsi="Times New Roman" w:eastAsia="方正仿宋_GBK" w:cs="Times New Roman"/>
                <w:i w:val="0"/>
                <w:iCs w:val="0"/>
                <w:color w:val="auto"/>
                <w:kern w:val="0"/>
                <w:sz w:val="24"/>
                <w:szCs w:val="24"/>
                <w:highlight w:val="none"/>
                <w:u w:val="none"/>
                <w:lang w:val="en-US" w:eastAsia="zh-CN" w:bidi="ar"/>
              </w:rPr>
              <w:t>调运和储备饲草料≥(万吨)</w:t>
            </w:r>
          </w:p>
        </w:tc>
        <w:tc>
          <w:tcPr>
            <w:tcW w:w="12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73FE66">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default" w:ascii="Times New Roman" w:hAnsi="Times New Roman" w:eastAsia="方正仿宋_GBK" w:cs="Times New Roman"/>
                <w:i w:val="0"/>
                <w:iCs w:val="0"/>
                <w:color w:val="auto"/>
                <w:kern w:val="0"/>
                <w:sz w:val="24"/>
                <w:szCs w:val="24"/>
                <w:u w:val="none"/>
                <w:lang w:val="en-US" w:eastAsia="zh-CN" w:bidi="ar"/>
              </w:rPr>
              <w:t>3.4</w:t>
            </w:r>
          </w:p>
        </w:tc>
        <w:tc>
          <w:tcPr>
            <w:tcW w:w="90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56E46E">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方正仿宋_GBK" w:cs="Times New Roman"/>
                <w:i w:val="0"/>
                <w:iCs w:val="0"/>
                <w:color w:val="auto"/>
                <w:kern w:val="0"/>
                <w:sz w:val="24"/>
                <w:szCs w:val="24"/>
                <w:u w:val="none"/>
                <w:lang w:val="en-US" w:eastAsia="zh-CN" w:bidi="ar"/>
              </w:rPr>
            </w:pPr>
            <w:r>
              <w:rPr>
                <w:rFonts w:hint="eastAsia" w:ascii="Times New Roman" w:hAnsi="Times New Roman" w:eastAsia="方正仿宋_GBK" w:cs="Times New Roman"/>
                <w:i w:val="0"/>
                <w:iCs w:val="0"/>
                <w:color w:val="auto"/>
                <w:kern w:val="0"/>
                <w:sz w:val="24"/>
                <w:szCs w:val="24"/>
                <w:u w:val="none"/>
                <w:lang w:val="en-US" w:eastAsia="zh-CN" w:bidi="ar"/>
              </w:rPr>
              <w:t>0</w:t>
            </w:r>
          </w:p>
        </w:tc>
      </w:tr>
    </w:tbl>
    <w:p w14:paraId="3A2CDE6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rPr>
          <w:rFonts w:hint="default" w:ascii="Times New Roman" w:hAnsi="Times New Roman" w:eastAsia="方正仿宋_GBK" w:cs="Times New Roman"/>
          <w:b w:val="0"/>
          <w:bCs w:val="0"/>
          <w:color w:val="auto"/>
          <w:sz w:val="32"/>
          <w:szCs w:val="32"/>
          <w:highlight w:val="none"/>
          <w:lang w:val="en-US" w:eastAsia="zh-CN"/>
        </w:rPr>
      </w:pPr>
      <w:r>
        <w:rPr>
          <w:rFonts w:hint="eastAsia" w:ascii="Times New Roman" w:hAnsi="Times New Roman" w:eastAsia="方正仿宋_GBK" w:cs="Times New Roman"/>
          <w:b w:val="0"/>
          <w:bCs w:val="0"/>
          <w:color w:val="auto"/>
          <w:sz w:val="32"/>
          <w:szCs w:val="32"/>
          <w:highlight w:val="none"/>
          <w:lang w:val="en-US" w:eastAsia="zh-CN"/>
        </w:rPr>
        <w:t>2.质量指标：防控效果为有效遏制暴发流行成灾，实际完成情况：防控效果实现</w:t>
      </w:r>
      <w:r>
        <w:rPr>
          <w:rFonts w:hint="default" w:ascii="Times New Roman" w:hAnsi="Times New Roman" w:eastAsia="方正仿宋_GBK" w:cs="Times New Roman"/>
          <w:b w:val="0"/>
          <w:bCs w:val="0"/>
          <w:color w:val="auto"/>
          <w:sz w:val="32"/>
          <w:szCs w:val="32"/>
          <w:highlight w:val="none"/>
          <w:lang w:val="en-US" w:eastAsia="zh-CN"/>
        </w:rPr>
        <w:t>有效遏制暴发流行成灾</w:t>
      </w:r>
      <w:r>
        <w:rPr>
          <w:rFonts w:hint="eastAsia" w:ascii="Times New Roman" w:hAnsi="Times New Roman" w:eastAsia="方正仿宋_GBK" w:cs="Times New Roman"/>
          <w:b w:val="0"/>
          <w:bCs w:val="0"/>
          <w:color w:val="auto"/>
          <w:sz w:val="32"/>
          <w:szCs w:val="32"/>
          <w:highlight w:val="none"/>
          <w:lang w:val="en-US" w:eastAsia="zh-CN"/>
        </w:rPr>
        <w:t>。项目实施区统防统治覆盖率</w:t>
      </w:r>
      <w:r>
        <w:rPr>
          <w:rFonts w:hint="default" w:ascii="Times New Roman" w:hAnsi="Times New Roman" w:eastAsia="方正仿宋_GBK" w:cs="Times New Roman"/>
          <w:b w:val="0"/>
          <w:bCs w:val="0"/>
          <w:color w:val="auto"/>
          <w:sz w:val="32"/>
          <w:szCs w:val="32"/>
          <w:highlight w:val="none"/>
          <w:lang w:val="en-US" w:eastAsia="zh-CN"/>
        </w:rPr>
        <w:t>＞48%</w:t>
      </w:r>
      <w:r>
        <w:rPr>
          <w:rFonts w:hint="eastAsia" w:ascii="Times New Roman" w:hAnsi="Times New Roman" w:eastAsia="方正仿宋_GBK" w:cs="Times New Roman"/>
          <w:b w:val="0"/>
          <w:bCs w:val="0"/>
          <w:color w:val="auto"/>
          <w:sz w:val="32"/>
          <w:szCs w:val="32"/>
          <w:highlight w:val="none"/>
          <w:lang w:val="en-US" w:eastAsia="zh-CN"/>
        </w:rPr>
        <w:t>，实际完成情况：项目实施区统防统治覆盖率为48.5%。用于农业生产救灾相关支出的比例</w:t>
      </w:r>
      <w:r>
        <w:rPr>
          <w:rFonts w:hint="default" w:ascii="Times New Roman" w:hAnsi="Times New Roman" w:eastAsia="方正仿宋_GBK" w:cs="Times New Roman"/>
          <w:b w:val="0"/>
          <w:bCs w:val="0"/>
          <w:color w:val="auto"/>
          <w:sz w:val="32"/>
          <w:szCs w:val="32"/>
          <w:highlight w:val="none"/>
          <w:lang w:val="en-US" w:eastAsia="zh-CN"/>
        </w:rPr>
        <w:t>100%</w:t>
      </w:r>
      <w:r>
        <w:rPr>
          <w:rFonts w:hint="eastAsia" w:ascii="Times New Roman" w:hAnsi="Times New Roman" w:eastAsia="方正仿宋_GBK" w:cs="Times New Roman"/>
          <w:b w:val="0"/>
          <w:bCs w:val="0"/>
          <w:color w:val="auto"/>
          <w:sz w:val="32"/>
          <w:szCs w:val="32"/>
          <w:highlight w:val="none"/>
          <w:lang w:val="en-US" w:eastAsia="zh-CN"/>
        </w:rPr>
        <w:t>，实际</w:t>
      </w:r>
      <w:r>
        <w:rPr>
          <w:rFonts w:hint="eastAsia" w:ascii="Times New Roman" w:hAnsi="Times New Roman" w:eastAsia="方正仿宋_GBK" w:cs="Times New Roman"/>
          <w:snapToGrid/>
          <w:color w:val="auto"/>
          <w:kern w:val="2"/>
          <w:sz w:val="32"/>
          <w:szCs w:val="32"/>
          <w:lang w:val="en-US" w:eastAsia="zh-CN" w:bidi="ar-SA"/>
        </w:rPr>
        <w:t>完成情况：</w:t>
      </w:r>
      <w:r>
        <w:rPr>
          <w:rFonts w:hint="eastAsia" w:ascii="Times New Roman" w:hAnsi="Times New Roman" w:eastAsia="方正仿宋_GBK" w:cs="Times New Roman"/>
          <w:b w:val="0"/>
          <w:bCs w:val="0"/>
          <w:color w:val="auto"/>
          <w:sz w:val="32"/>
          <w:szCs w:val="32"/>
          <w:highlight w:val="none"/>
          <w:lang w:val="en-US" w:eastAsia="zh-CN"/>
        </w:rPr>
        <w:t>所有资金均用于农业生产救灾所需物资、服务。</w:t>
      </w:r>
    </w:p>
    <w:p w14:paraId="0311C9B3">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b w:val="0"/>
          <w:bCs w:val="0"/>
          <w:color w:val="auto"/>
          <w:kern w:val="2"/>
          <w:sz w:val="32"/>
          <w:szCs w:val="32"/>
          <w:highlight w:val="none"/>
          <w:lang w:val="en-US" w:eastAsia="zh-CN" w:bidi="ar-SA"/>
        </w:rPr>
        <w:t>3.时效指标：</w:t>
      </w:r>
      <w:r>
        <w:rPr>
          <w:rFonts w:hint="eastAsia" w:ascii="Times New Roman" w:hAnsi="Times New Roman" w:eastAsia="方正仿宋_GBK" w:cs="Times New Roman"/>
          <w:snapToGrid/>
          <w:color w:val="auto"/>
          <w:kern w:val="2"/>
          <w:sz w:val="32"/>
          <w:szCs w:val="32"/>
          <w:lang w:val="en-US" w:eastAsia="zh-CN" w:bidi="ar-SA"/>
        </w:rPr>
        <w:t>农作物病虫害防治组织实施时效为在农作物病虫害防控期及时组织实施，</w:t>
      </w:r>
      <w:r>
        <w:rPr>
          <w:rFonts w:hint="eastAsia" w:ascii="Times New Roman" w:hAnsi="Times New Roman" w:eastAsia="方正仿宋_GBK" w:cs="Times New Roman"/>
          <w:b w:val="0"/>
          <w:bCs w:val="0"/>
          <w:color w:val="auto"/>
          <w:sz w:val="32"/>
          <w:szCs w:val="32"/>
          <w:highlight w:val="none"/>
          <w:lang w:val="en-US" w:eastAsia="zh-CN"/>
        </w:rPr>
        <w:t>实际</w:t>
      </w:r>
      <w:r>
        <w:rPr>
          <w:rFonts w:hint="eastAsia" w:ascii="Times New Roman" w:hAnsi="Times New Roman" w:eastAsia="方正仿宋_GBK" w:cs="Times New Roman"/>
          <w:snapToGrid/>
          <w:color w:val="auto"/>
          <w:kern w:val="2"/>
          <w:sz w:val="32"/>
          <w:szCs w:val="32"/>
          <w:lang w:val="en-US" w:eastAsia="zh-CN" w:bidi="ar-SA"/>
        </w:rPr>
        <w:t>完成情况：</w:t>
      </w:r>
      <w:r>
        <w:rPr>
          <w:rFonts w:hint="eastAsia" w:ascii="Times New Roman" w:hAnsi="Times New Roman" w:eastAsia="方正仿宋_GBK" w:cs="Times New Roman"/>
          <w:b w:val="0"/>
          <w:bCs w:val="0"/>
          <w:color w:val="auto"/>
          <w:kern w:val="2"/>
          <w:sz w:val="32"/>
          <w:szCs w:val="32"/>
          <w:highlight w:val="none"/>
          <w:lang w:val="en-US" w:eastAsia="zh-CN" w:bidi="ar-SA"/>
        </w:rPr>
        <w:t>农作物病虫害防治组织实施时效均在农作物病虫害防控期及时组织实施。灾后生产恢复时效性及时恢复正常生产，</w:t>
      </w:r>
      <w:r>
        <w:rPr>
          <w:rFonts w:hint="eastAsia" w:ascii="Times New Roman" w:hAnsi="Times New Roman" w:eastAsia="方正仿宋_GBK" w:cs="Times New Roman"/>
          <w:b w:val="0"/>
          <w:bCs w:val="0"/>
          <w:color w:val="auto"/>
          <w:sz w:val="32"/>
          <w:szCs w:val="32"/>
          <w:highlight w:val="none"/>
          <w:lang w:val="en-US" w:eastAsia="zh-CN"/>
        </w:rPr>
        <w:t>实际</w:t>
      </w:r>
      <w:r>
        <w:rPr>
          <w:rFonts w:hint="eastAsia" w:ascii="Times New Roman" w:hAnsi="Times New Roman" w:eastAsia="方正仿宋_GBK" w:cs="Times New Roman"/>
          <w:snapToGrid/>
          <w:color w:val="auto"/>
          <w:kern w:val="2"/>
          <w:sz w:val="32"/>
          <w:szCs w:val="32"/>
          <w:lang w:val="en-US" w:eastAsia="zh-CN" w:bidi="ar-SA"/>
        </w:rPr>
        <w:t>完成情况：</w:t>
      </w:r>
      <w:r>
        <w:rPr>
          <w:rFonts w:hint="eastAsia" w:ascii="Times New Roman" w:hAnsi="Times New Roman" w:eastAsia="方正仿宋_GBK" w:cs="Times New Roman"/>
          <w:b w:val="0"/>
          <w:bCs w:val="0"/>
          <w:color w:val="auto"/>
          <w:kern w:val="2"/>
          <w:sz w:val="32"/>
          <w:szCs w:val="32"/>
          <w:highlight w:val="none"/>
          <w:lang w:val="en-US" w:eastAsia="zh-CN" w:bidi="ar-SA"/>
        </w:rPr>
        <w:t>已完成。救灾资金6个月内预算执行率≥80%</w:t>
      </w:r>
      <w:r>
        <w:rPr>
          <w:rFonts w:hint="eastAsia" w:ascii="Times New Roman" w:hAnsi="Times New Roman" w:eastAsia="方正仿宋_GBK" w:cs="Times New Roman"/>
          <w:snapToGrid/>
          <w:color w:val="auto"/>
          <w:kern w:val="2"/>
          <w:sz w:val="32"/>
          <w:szCs w:val="32"/>
          <w:lang w:val="en-US" w:eastAsia="zh-CN" w:bidi="ar-SA"/>
        </w:rPr>
        <w:t>（第五批）</w:t>
      </w:r>
      <w:r>
        <w:rPr>
          <w:rFonts w:hint="eastAsia" w:ascii="Times New Roman" w:hAnsi="Times New Roman" w:eastAsia="方正仿宋_GBK" w:cs="Times New Roman"/>
          <w:b w:val="0"/>
          <w:bCs w:val="0"/>
          <w:color w:val="auto"/>
          <w:kern w:val="2"/>
          <w:sz w:val="32"/>
          <w:szCs w:val="32"/>
          <w:highlight w:val="none"/>
          <w:lang w:val="en-US" w:eastAsia="zh-CN" w:bidi="ar-SA"/>
        </w:rPr>
        <w:t>，</w:t>
      </w:r>
      <w:r>
        <w:rPr>
          <w:rFonts w:hint="eastAsia" w:ascii="Times New Roman" w:hAnsi="Times New Roman" w:eastAsia="方正仿宋_GBK" w:cs="Times New Roman"/>
          <w:b w:val="0"/>
          <w:bCs w:val="0"/>
          <w:color w:val="auto"/>
          <w:sz w:val="32"/>
          <w:szCs w:val="32"/>
          <w:highlight w:val="none"/>
          <w:lang w:val="en-US" w:eastAsia="zh-CN"/>
        </w:rPr>
        <w:t>实际</w:t>
      </w:r>
      <w:r>
        <w:rPr>
          <w:rFonts w:hint="eastAsia" w:ascii="Times New Roman" w:hAnsi="Times New Roman" w:eastAsia="方正仿宋_GBK" w:cs="Times New Roman"/>
          <w:snapToGrid/>
          <w:color w:val="auto"/>
          <w:kern w:val="2"/>
          <w:sz w:val="32"/>
          <w:szCs w:val="32"/>
          <w:lang w:val="en-US" w:eastAsia="zh-CN" w:bidi="ar-SA"/>
        </w:rPr>
        <w:t>完成情况：</w:t>
      </w:r>
      <w:r>
        <w:rPr>
          <w:rFonts w:hint="eastAsia" w:ascii="Times New Roman" w:hAnsi="Times New Roman" w:eastAsia="方正仿宋_GBK" w:cs="Times New Roman"/>
          <w:b w:val="0"/>
          <w:bCs w:val="0"/>
          <w:color w:val="auto"/>
          <w:kern w:val="2"/>
          <w:sz w:val="32"/>
          <w:szCs w:val="32"/>
          <w:highlight w:val="none"/>
          <w:lang w:val="en-US" w:eastAsia="zh-CN" w:bidi="ar-SA"/>
        </w:rPr>
        <w:t>救灾资金6个月内预算执行率48.5%。救灾资金下达3个月内预算执行率≥90%</w:t>
      </w:r>
      <w:r>
        <w:rPr>
          <w:rFonts w:hint="eastAsia" w:ascii="Times New Roman" w:hAnsi="Times New Roman" w:eastAsia="方正仿宋_GBK" w:cs="Times New Roman"/>
          <w:snapToGrid/>
          <w:color w:val="auto"/>
          <w:kern w:val="2"/>
          <w:sz w:val="32"/>
          <w:szCs w:val="32"/>
          <w:lang w:val="en-US" w:eastAsia="zh-CN" w:bidi="ar-SA"/>
        </w:rPr>
        <w:t>（第十一批），</w:t>
      </w:r>
      <w:r>
        <w:rPr>
          <w:rFonts w:hint="eastAsia" w:ascii="Times New Roman" w:hAnsi="Times New Roman" w:eastAsia="方正仿宋_GBK" w:cs="Times New Roman"/>
          <w:b w:val="0"/>
          <w:bCs w:val="0"/>
          <w:color w:val="auto"/>
          <w:sz w:val="32"/>
          <w:szCs w:val="32"/>
          <w:highlight w:val="none"/>
          <w:lang w:val="en-US" w:eastAsia="zh-CN"/>
        </w:rPr>
        <w:t>实际</w:t>
      </w:r>
      <w:r>
        <w:rPr>
          <w:rFonts w:hint="eastAsia" w:ascii="Times New Roman" w:hAnsi="Times New Roman" w:eastAsia="方正仿宋_GBK" w:cs="Times New Roman"/>
          <w:snapToGrid/>
          <w:color w:val="auto"/>
          <w:kern w:val="2"/>
          <w:sz w:val="32"/>
          <w:szCs w:val="32"/>
          <w:lang w:val="en-US" w:eastAsia="zh-CN" w:bidi="ar-SA"/>
        </w:rPr>
        <w:t>完成情况：资金暂未支出。</w:t>
      </w:r>
    </w:p>
    <w:p w14:paraId="1BA16705">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b w:val="0"/>
          <w:bCs w:val="0"/>
          <w:color w:val="auto"/>
          <w:kern w:val="2"/>
          <w:sz w:val="32"/>
          <w:szCs w:val="32"/>
          <w:highlight w:val="none"/>
          <w:lang w:val="en-US" w:eastAsia="zh-CN" w:bidi="ar-SA"/>
        </w:rPr>
      </w:pPr>
      <w:r>
        <w:rPr>
          <w:rFonts w:hint="eastAsia" w:ascii="Times New Roman" w:hAnsi="Times New Roman" w:eastAsia="方正仿宋_GBK" w:cs="Times New Roman"/>
          <w:b w:val="0"/>
          <w:bCs w:val="0"/>
          <w:color w:val="auto"/>
          <w:kern w:val="2"/>
          <w:sz w:val="32"/>
          <w:szCs w:val="32"/>
          <w:highlight w:val="none"/>
          <w:lang w:val="en-US" w:eastAsia="zh-CN" w:bidi="ar-SA"/>
        </w:rPr>
        <w:t>4.成本指标：采购物资或服务价格不超过市场价格；</w:t>
      </w:r>
      <w:r>
        <w:rPr>
          <w:rFonts w:hint="eastAsia" w:ascii="Times New Roman" w:hAnsi="Times New Roman" w:eastAsia="方正仿宋_GBK" w:cs="Times New Roman"/>
          <w:snapToGrid/>
          <w:color w:val="auto"/>
          <w:kern w:val="2"/>
          <w:sz w:val="32"/>
          <w:szCs w:val="32"/>
          <w:lang w:val="en-US" w:eastAsia="zh-CN" w:bidi="ar-SA"/>
        </w:rPr>
        <w:t>严格执行资金预算管理规定。</w:t>
      </w:r>
      <w:r>
        <w:rPr>
          <w:rFonts w:hint="eastAsia" w:ascii="Times New Roman" w:hAnsi="Times New Roman" w:eastAsia="方正仿宋_GBK" w:cs="Times New Roman"/>
          <w:b w:val="0"/>
          <w:bCs w:val="0"/>
          <w:color w:val="auto"/>
          <w:sz w:val="32"/>
          <w:szCs w:val="32"/>
          <w:highlight w:val="none"/>
          <w:lang w:val="en-US" w:eastAsia="zh-CN"/>
        </w:rPr>
        <w:t>实际</w:t>
      </w:r>
      <w:r>
        <w:rPr>
          <w:rFonts w:hint="eastAsia" w:ascii="Times New Roman" w:hAnsi="Times New Roman" w:eastAsia="方正仿宋_GBK" w:cs="Times New Roman"/>
          <w:snapToGrid/>
          <w:color w:val="auto"/>
          <w:kern w:val="2"/>
          <w:sz w:val="32"/>
          <w:szCs w:val="32"/>
          <w:lang w:val="en-US" w:eastAsia="zh-CN" w:bidi="ar-SA"/>
        </w:rPr>
        <w:t>完成情况：</w:t>
      </w:r>
      <w:r>
        <w:rPr>
          <w:rFonts w:hint="eastAsia" w:ascii="Times New Roman" w:hAnsi="Times New Roman" w:eastAsia="方正仿宋_GBK" w:cs="Times New Roman"/>
          <w:b w:val="0"/>
          <w:bCs w:val="0"/>
          <w:color w:val="auto"/>
          <w:kern w:val="2"/>
          <w:sz w:val="32"/>
          <w:szCs w:val="32"/>
          <w:highlight w:val="none"/>
          <w:lang w:val="en-US" w:eastAsia="zh-CN" w:bidi="ar-SA"/>
        </w:rPr>
        <w:t>各绩效指标均已完成。</w:t>
      </w:r>
    </w:p>
    <w:p w14:paraId="1D3DDEED">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b w:val="0"/>
          <w:bCs w:val="0"/>
          <w:color w:val="auto"/>
          <w:kern w:val="2"/>
          <w:sz w:val="32"/>
          <w:szCs w:val="32"/>
          <w:highlight w:val="none"/>
          <w:lang w:val="en-US" w:eastAsia="zh-CN" w:bidi="ar-SA"/>
        </w:rPr>
      </w:pPr>
      <w:r>
        <w:rPr>
          <w:rFonts w:hint="eastAsia" w:ascii="Times New Roman" w:hAnsi="Times New Roman" w:eastAsia="方正仿宋_GBK" w:cs="Times New Roman"/>
          <w:b w:val="0"/>
          <w:bCs w:val="0"/>
          <w:color w:val="auto"/>
          <w:kern w:val="2"/>
          <w:sz w:val="32"/>
          <w:szCs w:val="32"/>
          <w:highlight w:val="none"/>
          <w:lang w:val="en-US" w:eastAsia="zh-CN" w:bidi="ar-SA"/>
        </w:rPr>
        <w:t>5.经济效益指标：减少受灾地区农作物因灾损失减少；受灾地区主要牲畜存栏量实现重灾区少减产、轻灾区不减产。</w:t>
      </w:r>
      <w:r>
        <w:rPr>
          <w:rFonts w:hint="eastAsia" w:ascii="Times New Roman" w:hAnsi="Times New Roman" w:eastAsia="方正仿宋_GBK" w:cs="Times New Roman"/>
          <w:b w:val="0"/>
          <w:bCs w:val="0"/>
          <w:color w:val="auto"/>
          <w:sz w:val="32"/>
          <w:szCs w:val="32"/>
          <w:highlight w:val="none"/>
          <w:lang w:val="en-US" w:eastAsia="zh-CN"/>
        </w:rPr>
        <w:t>实际</w:t>
      </w:r>
      <w:r>
        <w:rPr>
          <w:rFonts w:hint="eastAsia" w:ascii="Times New Roman" w:hAnsi="Times New Roman" w:eastAsia="方正仿宋_GBK" w:cs="Times New Roman"/>
          <w:snapToGrid/>
          <w:color w:val="auto"/>
          <w:kern w:val="2"/>
          <w:sz w:val="32"/>
          <w:szCs w:val="32"/>
          <w:lang w:val="en-US" w:eastAsia="zh-CN" w:bidi="ar-SA"/>
        </w:rPr>
        <w:t>完成情况：</w:t>
      </w:r>
      <w:r>
        <w:rPr>
          <w:rFonts w:hint="eastAsia" w:ascii="Times New Roman" w:hAnsi="Times New Roman" w:eastAsia="方正仿宋_GBK" w:cs="Times New Roman"/>
          <w:b w:val="0"/>
          <w:bCs w:val="0"/>
          <w:color w:val="auto"/>
          <w:kern w:val="2"/>
          <w:sz w:val="32"/>
          <w:szCs w:val="32"/>
          <w:highlight w:val="none"/>
          <w:lang w:val="en-US" w:eastAsia="zh-CN" w:bidi="ar-SA"/>
        </w:rPr>
        <w:t>各绩效指标均已完成。</w:t>
      </w:r>
    </w:p>
    <w:p w14:paraId="5F1D6973">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b w:val="0"/>
          <w:bCs w:val="0"/>
          <w:color w:val="auto"/>
          <w:kern w:val="2"/>
          <w:sz w:val="32"/>
          <w:szCs w:val="32"/>
          <w:highlight w:val="none"/>
          <w:lang w:val="en-US" w:eastAsia="zh-CN" w:bidi="ar-SA"/>
        </w:rPr>
      </w:pPr>
      <w:r>
        <w:rPr>
          <w:rFonts w:hint="eastAsia" w:ascii="Times New Roman" w:hAnsi="Times New Roman" w:eastAsia="方正仿宋_GBK" w:cs="Times New Roman"/>
          <w:b w:val="0"/>
          <w:bCs w:val="0"/>
          <w:color w:val="auto"/>
          <w:kern w:val="2"/>
          <w:sz w:val="32"/>
          <w:szCs w:val="32"/>
          <w:highlight w:val="none"/>
          <w:lang w:val="en-US" w:eastAsia="zh-CN" w:bidi="ar-SA"/>
        </w:rPr>
        <w:t>6.社会效益指标：灾区生产能力基本恢复，防灾措施保障粮食安全和农业生产安全效果重发区域病虫害得到有效控制，农作物未出现大范围成灾绝收，灾区畜牧业生产秩序基本恢复。</w:t>
      </w:r>
      <w:r>
        <w:rPr>
          <w:rFonts w:hint="eastAsia" w:ascii="Times New Roman" w:hAnsi="Times New Roman" w:eastAsia="方正仿宋_GBK" w:cs="Times New Roman"/>
          <w:b w:val="0"/>
          <w:bCs w:val="0"/>
          <w:color w:val="auto"/>
          <w:sz w:val="32"/>
          <w:szCs w:val="32"/>
          <w:highlight w:val="none"/>
          <w:lang w:val="en-US" w:eastAsia="zh-CN"/>
        </w:rPr>
        <w:t>实际</w:t>
      </w:r>
      <w:r>
        <w:rPr>
          <w:rFonts w:hint="eastAsia" w:ascii="Times New Roman" w:hAnsi="Times New Roman" w:eastAsia="方正仿宋_GBK" w:cs="Times New Roman"/>
          <w:snapToGrid/>
          <w:color w:val="auto"/>
          <w:kern w:val="2"/>
          <w:sz w:val="32"/>
          <w:szCs w:val="32"/>
          <w:lang w:val="en-US" w:eastAsia="zh-CN" w:bidi="ar-SA"/>
        </w:rPr>
        <w:t>完成情况：</w:t>
      </w:r>
      <w:r>
        <w:rPr>
          <w:rFonts w:hint="eastAsia" w:ascii="Times New Roman" w:hAnsi="Times New Roman" w:eastAsia="方正仿宋_GBK" w:cs="Times New Roman"/>
          <w:b w:val="0"/>
          <w:bCs w:val="0"/>
          <w:color w:val="auto"/>
          <w:kern w:val="2"/>
          <w:sz w:val="32"/>
          <w:szCs w:val="32"/>
          <w:highlight w:val="none"/>
          <w:lang w:val="en-US" w:eastAsia="zh-CN" w:bidi="ar-SA"/>
        </w:rPr>
        <w:t>各绩效指标均已完成。</w:t>
      </w:r>
    </w:p>
    <w:p w14:paraId="7AEB5926">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b w:val="0"/>
          <w:bCs w:val="0"/>
          <w:color w:val="auto"/>
          <w:kern w:val="2"/>
          <w:sz w:val="32"/>
          <w:szCs w:val="32"/>
          <w:highlight w:val="none"/>
          <w:lang w:val="en-US" w:eastAsia="zh-CN" w:bidi="ar-SA"/>
        </w:rPr>
      </w:pPr>
      <w:r>
        <w:rPr>
          <w:rFonts w:hint="eastAsia" w:ascii="Times New Roman" w:hAnsi="Times New Roman" w:eastAsia="方正仿宋_GBK" w:cs="Times New Roman"/>
          <w:b w:val="0"/>
          <w:bCs w:val="0"/>
          <w:color w:val="auto"/>
          <w:kern w:val="2"/>
          <w:sz w:val="32"/>
          <w:szCs w:val="32"/>
          <w:highlight w:val="none"/>
          <w:lang w:val="en-US" w:eastAsia="zh-CN" w:bidi="ar-SA"/>
        </w:rPr>
        <w:t>7.生态效益指标：灾区畜牧业生产能力基本恢复，</w:t>
      </w:r>
      <w:r>
        <w:rPr>
          <w:rFonts w:hint="eastAsia" w:ascii="Times New Roman" w:hAnsi="Times New Roman" w:eastAsia="方正仿宋_GBK" w:cs="Times New Roman"/>
          <w:b w:val="0"/>
          <w:bCs w:val="0"/>
          <w:color w:val="auto"/>
          <w:sz w:val="32"/>
          <w:szCs w:val="32"/>
          <w:highlight w:val="none"/>
          <w:lang w:val="en-US" w:eastAsia="zh-CN"/>
        </w:rPr>
        <w:t>实际</w:t>
      </w:r>
      <w:r>
        <w:rPr>
          <w:rFonts w:hint="eastAsia" w:ascii="Times New Roman" w:hAnsi="Times New Roman" w:eastAsia="方正仿宋_GBK" w:cs="Times New Roman"/>
          <w:snapToGrid/>
          <w:color w:val="auto"/>
          <w:kern w:val="2"/>
          <w:sz w:val="32"/>
          <w:szCs w:val="32"/>
          <w:lang w:val="en-US" w:eastAsia="zh-CN" w:bidi="ar-SA"/>
        </w:rPr>
        <w:t>完成情况：</w:t>
      </w:r>
      <w:r>
        <w:rPr>
          <w:rFonts w:hint="eastAsia" w:ascii="Times New Roman" w:hAnsi="Times New Roman" w:eastAsia="方正仿宋_GBK" w:cs="Times New Roman"/>
          <w:b w:val="0"/>
          <w:bCs w:val="0"/>
          <w:color w:val="auto"/>
          <w:kern w:val="2"/>
          <w:sz w:val="32"/>
          <w:szCs w:val="32"/>
          <w:highlight w:val="none"/>
          <w:lang w:val="en-US" w:eastAsia="zh-CN" w:bidi="ar-SA"/>
        </w:rPr>
        <w:t>灾区畜牧业生产能力得到基本恢复。</w:t>
      </w:r>
    </w:p>
    <w:p w14:paraId="39A0400E">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b w:val="0"/>
          <w:bCs w:val="0"/>
          <w:color w:val="auto"/>
          <w:kern w:val="2"/>
          <w:sz w:val="32"/>
          <w:szCs w:val="32"/>
          <w:highlight w:val="none"/>
          <w:lang w:val="en-US" w:eastAsia="zh-CN" w:bidi="ar-SA"/>
        </w:rPr>
      </w:pPr>
      <w:r>
        <w:rPr>
          <w:rFonts w:hint="eastAsia" w:ascii="Times New Roman" w:hAnsi="Times New Roman" w:eastAsia="方正仿宋_GBK" w:cs="Times New Roman"/>
          <w:b w:val="0"/>
          <w:bCs w:val="0"/>
          <w:color w:val="auto"/>
          <w:kern w:val="2"/>
          <w:sz w:val="32"/>
          <w:szCs w:val="32"/>
          <w:highlight w:val="none"/>
          <w:lang w:val="en-US" w:eastAsia="zh-CN" w:bidi="ar-SA"/>
        </w:rPr>
        <w:t>8.可持续影响指标：病虫害防控期内有效保持重大病虫疫情灾情监测预警能力，</w:t>
      </w:r>
      <w:r>
        <w:rPr>
          <w:rFonts w:hint="eastAsia" w:ascii="Times New Roman" w:hAnsi="Times New Roman" w:eastAsia="方正仿宋_GBK" w:cs="Times New Roman"/>
          <w:snapToGrid/>
          <w:color w:val="auto"/>
          <w:kern w:val="2"/>
          <w:sz w:val="32"/>
          <w:szCs w:val="32"/>
          <w:lang w:val="en-US" w:eastAsia="zh-CN" w:bidi="ar-SA"/>
        </w:rPr>
        <w:t>农民生产积极性保持稳定，农民畜牧业生产积极性保持稳定，保证主要畜禽存栏量保持稳定。</w:t>
      </w:r>
      <w:r>
        <w:rPr>
          <w:rFonts w:hint="eastAsia" w:ascii="Times New Roman" w:hAnsi="Times New Roman" w:eastAsia="方正仿宋_GBK" w:cs="Times New Roman"/>
          <w:b w:val="0"/>
          <w:bCs w:val="0"/>
          <w:color w:val="auto"/>
          <w:sz w:val="32"/>
          <w:szCs w:val="32"/>
          <w:highlight w:val="none"/>
          <w:lang w:val="en-US" w:eastAsia="zh-CN"/>
        </w:rPr>
        <w:t>实际</w:t>
      </w:r>
      <w:r>
        <w:rPr>
          <w:rFonts w:hint="eastAsia" w:ascii="Times New Roman" w:hAnsi="Times New Roman" w:eastAsia="方正仿宋_GBK" w:cs="Times New Roman"/>
          <w:snapToGrid/>
          <w:color w:val="auto"/>
          <w:kern w:val="2"/>
          <w:sz w:val="32"/>
          <w:szCs w:val="32"/>
          <w:lang w:val="en-US" w:eastAsia="zh-CN" w:bidi="ar-SA"/>
        </w:rPr>
        <w:t>完成情况：</w:t>
      </w:r>
      <w:r>
        <w:rPr>
          <w:rFonts w:hint="eastAsia" w:ascii="Times New Roman" w:hAnsi="Times New Roman" w:eastAsia="方正仿宋_GBK" w:cs="Times New Roman"/>
          <w:b w:val="0"/>
          <w:bCs w:val="0"/>
          <w:color w:val="auto"/>
          <w:kern w:val="2"/>
          <w:sz w:val="32"/>
          <w:szCs w:val="32"/>
          <w:highlight w:val="none"/>
          <w:lang w:val="en-US" w:eastAsia="zh-CN" w:bidi="ar-SA"/>
        </w:rPr>
        <w:t>各绩效指标均已完成。</w:t>
      </w:r>
    </w:p>
    <w:p w14:paraId="10380E44">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b w:val="0"/>
          <w:bCs w:val="0"/>
          <w:color w:val="auto"/>
          <w:kern w:val="2"/>
          <w:sz w:val="32"/>
          <w:szCs w:val="32"/>
          <w:highlight w:val="none"/>
          <w:lang w:val="en-US" w:eastAsia="zh-CN" w:bidi="ar-SA"/>
        </w:rPr>
      </w:pPr>
      <w:r>
        <w:rPr>
          <w:rFonts w:hint="eastAsia" w:ascii="Times New Roman" w:hAnsi="Times New Roman" w:eastAsia="方正仿宋_GBK" w:cs="Times New Roman"/>
          <w:b w:val="0"/>
          <w:bCs w:val="0"/>
          <w:color w:val="auto"/>
          <w:kern w:val="2"/>
          <w:sz w:val="32"/>
          <w:szCs w:val="32"/>
          <w:highlight w:val="none"/>
          <w:lang w:val="en-US" w:eastAsia="zh-CN" w:bidi="ar-SA"/>
        </w:rPr>
        <w:t>9.技术指导对象满意度指标：受灾农民或防治服务组织满意度≥85%，服务群众满意度≥85%。</w:t>
      </w:r>
      <w:r>
        <w:rPr>
          <w:rFonts w:hint="eastAsia" w:ascii="Times New Roman" w:hAnsi="Times New Roman" w:eastAsia="方正仿宋_GBK" w:cs="Times New Roman"/>
          <w:b w:val="0"/>
          <w:bCs w:val="0"/>
          <w:color w:val="auto"/>
          <w:sz w:val="32"/>
          <w:szCs w:val="32"/>
          <w:highlight w:val="none"/>
          <w:lang w:val="en-US" w:eastAsia="zh-CN"/>
        </w:rPr>
        <w:t>实际</w:t>
      </w:r>
      <w:r>
        <w:rPr>
          <w:rFonts w:hint="eastAsia" w:ascii="Times New Roman" w:hAnsi="Times New Roman" w:eastAsia="方正仿宋_GBK" w:cs="Times New Roman"/>
          <w:snapToGrid/>
          <w:color w:val="auto"/>
          <w:kern w:val="2"/>
          <w:sz w:val="32"/>
          <w:szCs w:val="32"/>
          <w:lang w:val="en-US" w:eastAsia="zh-CN" w:bidi="ar-SA"/>
        </w:rPr>
        <w:t>完成情况：</w:t>
      </w:r>
      <w:r>
        <w:rPr>
          <w:rFonts w:hint="eastAsia" w:ascii="Times New Roman" w:hAnsi="Times New Roman" w:eastAsia="方正仿宋_GBK" w:cs="Times New Roman"/>
          <w:b w:val="0"/>
          <w:bCs w:val="0"/>
          <w:color w:val="auto"/>
          <w:kern w:val="2"/>
          <w:sz w:val="32"/>
          <w:szCs w:val="32"/>
          <w:highlight w:val="none"/>
          <w:lang w:val="en-US" w:eastAsia="zh-CN" w:bidi="ar-SA"/>
        </w:rPr>
        <w:t>各绩效指标均完成。</w:t>
      </w:r>
    </w:p>
    <w:p w14:paraId="2C777708">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方正黑体_GBK" w:hAnsi="方正黑体_GBK" w:eastAsia="方正黑体_GBK" w:cs="方正黑体_GBK"/>
          <w:b w:val="0"/>
          <w:bCs w:val="0"/>
          <w:snapToGrid/>
          <w:color w:val="auto"/>
          <w:kern w:val="2"/>
          <w:sz w:val="32"/>
          <w:szCs w:val="32"/>
          <w:lang w:val="en-US" w:eastAsia="zh-CN" w:bidi="ar-SA"/>
        </w:rPr>
        <w:t>三、偏离绩效目标的原因和下一步改进措施</w:t>
      </w:r>
    </w:p>
    <w:p w14:paraId="717DB839">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水稻、玉米等主要粮食作物病虫害统防统治面积指标值120.6万亩次，完成值109.24万亩次。玉米重大病虫害生物防治面积指标值1万亩，完成值0.80万亩。马铃薯晚疫病精准防控指标值4.5万亩次，完成值3.14万亩。指标未完成主要原因：</w:t>
      </w:r>
      <w:r>
        <w:rPr>
          <w:rFonts w:hint="eastAsia" w:ascii="Times New Roman" w:hAnsi="Times New Roman" w:eastAsia="方正仿宋_GBK" w:cs="Times New Roman"/>
          <w:b/>
          <w:bCs/>
          <w:snapToGrid/>
          <w:color w:val="auto"/>
          <w:kern w:val="2"/>
          <w:sz w:val="32"/>
          <w:szCs w:val="32"/>
          <w:lang w:val="en-US" w:eastAsia="zh-CN" w:bidi="ar-SA"/>
        </w:rPr>
        <w:t>一是</w:t>
      </w:r>
      <w:r>
        <w:rPr>
          <w:rFonts w:hint="eastAsia" w:ascii="Times New Roman" w:hAnsi="Times New Roman" w:eastAsia="方正仿宋_GBK" w:cs="Times New Roman"/>
          <w:snapToGrid/>
          <w:color w:val="auto"/>
          <w:kern w:val="2"/>
          <w:sz w:val="32"/>
          <w:szCs w:val="32"/>
          <w:lang w:val="en-US" w:eastAsia="zh-CN" w:bidi="ar-SA"/>
        </w:rPr>
        <w:t>因项目实施需要集中统一进行招投标或政府采购，手续流程较为繁琐，导致招标采购时间较长，加之我省农作物节令偏早，2025年资金下达后大部分州市水稻、玉米防治适期已错过，对项目实施进度带来一定影响，未完成项目州市将在2026年6月前完成项目实施。</w:t>
      </w:r>
      <w:bookmarkStart w:id="0" w:name="_GoBack"/>
      <w:bookmarkEnd w:id="0"/>
      <w:r>
        <w:rPr>
          <w:rFonts w:hint="eastAsia" w:ascii="Times New Roman" w:hAnsi="Times New Roman" w:eastAsia="方正仿宋_GBK" w:cs="Times New Roman"/>
          <w:b/>
          <w:bCs/>
          <w:snapToGrid/>
          <w:color w:val="auto"/>
          <w:kern w:val="2"/>
          <w:sz w:val="32"/>
          <w:szCs w:val="32"/>
          <w:lang w:val="en-US" w:eastAsia="zh-CN" w:bidi="ar-SA"/>
        </w:rPr>
        <w:t>二是</w:t>
      </w:r>
      <w:r>
        <w:rPr>
          <w:rFonts w:hint="eastAsia" w:ascii="Times New Roman" w:hAnsi="Times New Roman" w:eastAsia="方正仿宋_GBK" w:cs="Times New Roman"/>
          <w:snapToGrid/>
          <w:color w:val="auto"/>
          <w:kern w:val="2"/>
          <w:sz w:val="32"/>
          <w:szCs w:val="32"/>
          <w:lang w:val="en-US" w:eastAsia="zh-CN" w:bidi="ar-SA"/>
        </w:rPr>
        <w:t>部分县市财政状况较为困难，项目资金拨付滞后。</w:t>
      </w:r>
      <w:r>
        <w:rPr>
          <w:rFonts w:hint="eastAsia" w:ascii="Times New Roman" w:hAnsi="Times New Roman" w:eastAsia="方正仿宋_GBK" w:cs="Times New Roman"/>
          <w:b/>
          <w:bCs/>
          <w:snapToGrid/>
          <w:color w:val="auto"/>
          <w:kern w:val="2"/>
          <w:sz w:val="32"/>
          <w:szCs w:val="32"/>
          <w:lang w:val="en-US" w:eastAsia="zh-CN" w:bidi="ar-SA"/>
        </w:rPr>
        <w:t>三是</w:t>
      </w:r>
      <w:r>
        <w:rPr>
          <w:rFonts w:hint="eastAsia" w:ascii="Times New Roman" w:hAnsi="Times New Roman" w:eastAsia="方正仿宋_GBK" w:cs="Times New Roman"/>
          <w:snapToGrid/>
          <w:color w:val="auto"/>
          <w:kern w:val="2"/>
          <w:sz w:val="32"/>
          <w:szCs w:val="32"/>
          <w:lang w:val="en-US" w:eastAsia="zh-CN" w:bidi="ar-SA"/>
        </w:rPr>
        <w:t>机构改革后，基层植保队伍人员力量较为薄弱，一定程度上影响了项目的实施。下一步，</w:t>
      </w:r>
      <w:r>
        <w:rPr>
          <w:rFonts w:hint="eastAsia" w:ascii="Times New Roman" w:hAnsi="Times New Roman" w:eastAsia="方正仿宋_GBK" w:cs="Times New Roman"/>
          <w:b/>
          <w:bCs/>
          <w:snapToGrid/>
          <w:color w:val="auto"/>
          <w:kern w:val="2"/>
          <w:sz w:val="32"/>
          <w:szCs w:val="32"/>
          <w:lang w:val="en-US" w:eastAsia="zh-CN" w:bidi="ar-SA"/>
        </w:rPr>
        <w:t>一是</w:t>
      </w:r>
      <w:r>
        <w:rPr>
          <w:rFonts w:hint="eastAsia" w:ascii="Times New Roman" w:hAnsi="Times New Roman" w:eastAsia="方正仿宋_GBK" w:cs="Times New Roman"/>
          <w:snapToGrid/>
          <w:color w:val="auto"/>
          <w:kern w:val="2"/>
          <w:sz w:val="32"/>
          <w:szCs w:val="32"/>
          <w:lang w:val="en-US" w:eastAsia="zh-CN" w:bidi="ar-SA"/>
        </w:rPr>
        <w:t>我省南部低热河谷区水稻、玉米生产节令较早，资金下达后，实施统防统治措施偏晚，难以发挥资金效益，加之中央农业防灾减灾资金项目时间紧、任务急、要求高，建议及早下达项目资金，以便于项目实施单位尽快组织开展项目的实施；</w:t>
      </w:r>
      <w:r>
        <w:rPr>
          <w:rFonts w:hint="eastAsia" w:ascii="Times New Roman" w:hAnsi="Times New Roman" w:eastAsia="方正仿宋_GBK" w:cs="Times New Roman"/>
          <w:b/>
          <w:bCs/>
          <w:snapToGrid/>
          <w:color w:val="auto"/>
          <w:kern w:val="2"/>
          <w:sz w:val="32"/>
          <w:szCs w:val="32"/>
          <w:lang w:val="en-US" w:eastAsia="zh-CN" w:bidi="ar-SA"/>
        </w:rPr>
        <w:t>二是</w:t>
      </w:r>
      <w:r>
        <w:rPr>
          <w:rFonts w:hint="eastAsia" w:ascii="Times New Roman" w:hAnsi="Times New Roman" w:eastAsia="方正仿宋_GBK" w:cs="Times New Roman"/>
          <w:snapToGrid/>
          <w:color w:val="auto"/>
          <w:kern w:val="2"/>
          <w:sz w:val="32"/>
          <w:szCs w:val="32"/>
          <w:lang w:val="en-US" w:eastAsia="zh-CN" w:bidi="ar-SA"/>
        </w:rPr>
        <w:t>探索优化项目实施方式。采取直接补助、先建后补、以奖代补等支持方式，通过扶持主体带动农户，提高病虫防控组织化、专业化程度和网格化群防群治能力。</w:t>
      </w:r>
    </w:p>
    <w:p w14:paraId="34C6236B">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跨境病虫害（黄脊竹蝗）等防控指标值2.1万亩次，完成值1.37万亩。指标未完成主要原因为：跨境病虫害（黄脊竹蝗）为储备项目，若黄脊竹蝗不境外迁飞入侵，则不需要防控。2025年中央资金黄脊竹蝗资金分别安排在普洱市、红河州、西双版纳州，西双版纳州今年未发生黄脊竹蝗迁飞入境，所以西双版纳州的0.9万亩次指标未完成。下一步，将继续做好跨境迁飞害虫的监测工作，根据情况及时开展防治。</w:t>
      </w:r>
    </w:p>
    <w:p w14:paraId="79E0D5D7">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红火蚁等重大病虫疫情防控指标值30万亩次，完成值24.76万亩。指标未完成主要原因为：2025年省内秋季雨水偏多，雨季结束偏晚，不适合红火蚁防控。下一步，预计在2026年6月份前完成项目实施。</w:t>
      </w:r>
    </w:p>
    <w:p w14:paraId="6E9910BE">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default" w:ascii="Times New Roman" w:hAnsi="Times New Roman" w:eastAsia="方正仿宋_GBK" w:cs="Times New Roman"/>
          <w:snapToGrid/>
          <w:color w:val="auto"/>
          <w:kern w:val="2"/>
          <w:sz w:val="32"/>
          <w:szCs w:val="32"/>
          <w:lang w:val="en-US" w:eastAsia="zh-CN" w:bidi="ar-SA"/>
        </w:rPr>
        <w:t>支持农作物恢复生长等≥</w:t>
      </w:r>
      <w:r>
        <w:rPr>
          <w:rFonts w:hint="eastAsia" w:ascii="Times New Roman" w:hAnsi="Times New Roman" w:eastAsia="方正仿宋_GBK" w:cs="Times New Roman"/>
          <w:snapToGrid/>
          <w:color w:val="auto"/>
          <w:kern w:val="2"/>
          <w:sz w:val="32"/>
          <w:szCs w:val="32"/>
          <w:lang w:val="en-US" w:eastAsia="zh-CN" w:bidi="ar-SA"/>
        </w:rPr>
        <w:t>32.24</w:t>
      </w:r>
      <w:r>
        <w:rPr>
          <w:rFonts w:hint="default" w:ascii="Times New Roman" w:hAnsi="Times New Roman" w:eastAsia="方正仿宋_GBK" w:cs="Times New Roman"/>
          <w:snapToGrid/>
          <w:color w:val="auto"/>
          <w:kern w:val="2"/>
          <w:sz w:val="32"/>
          <w:szCs w:val="32"/>
          <w:lang w:val="en-US" w:eastAsia="zh-CN" w:bidi="ar-SA"/>
        </w:rPr>
        <w:t>万亩</w:t>
      </w:r>
      <w:r>
        <w:rPr>
          <w:rFonts w:hint="eastAsia" w:ascii="Times New Roman" w:hAnsi="Times New Roman" w:eastAsia="方正仿宋_GBK" w:cs="Times New Roman"/>
          <w:snapToGrid/>
          <w:color w:val="auto"/>
          <w:kern w:val="2"/>
          <w:sz w:val="32"/>
          <w:szCs w:val="32"/>
          <w:lang w:val="en-US" w:eastAsia="zh-CN" w:bidi="ar-SA"/>
        </w:rPr>
        <w:t>，实际完成29.9万亩。救灾资金6个月内预算执行率≥80%，实际支出率48.45%。指标未完成主要原因为：1.项目跨年度实施，还未完成；2.招标代理机构比选及物资招投标过程中出现流标情况，导致项目执行进度慢于预期；3.县级财政资金较为困难，拨付到县级农业农村部门资金较晚，错过节令，只能在下一年度实施；4.救灾物资已发放，还未完成报账支出程序。下一步改进措施：加快项目实施，尽快形成资金支出。</w:t>
      </w:r>
    </w:p>
    <w:p w14:paraId="33B0FBA9">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default" w:ascii="Times New Roman" w:hAnsi="Times New Roman" w:eastAsia="方正仿宋_GBK" w:cs="Times New Roman"/>
          <w:snapToGrid/>
          <w:color w:val="auto"/>
          <w:kern w:val="2"/>
          <w:sz w:val="32"/>
          <w:szCs w:val="32"/>
          <w:lang w:val="en-US" w:eastAsia="zh-CN" w:bidi="ar-SA"/>
        </w:rPr>
        <w:t>调运和储备饲草料≥</w:t>
      </w:r>
      <w:r>
        <w:rPr>
          <w:rFonts w:hint="eastAsia" w:ascii="Times New Roman" w:hAnsi="Times New Roman" w:eastAsia="方正仿宋_GBK" w:cs="Times New Roman"/>
          <w:snapToGrid/>
          <w:color w:val="auto"/>
          <w:kern w:val="2"/>
          <w:sz w:val="32"/>
          <w:szCs w:val="32"/>
          <w:lang w:val="en-US" w:eastAsia="zh-CN" w:bidi="ar-SA"/>
        </w:rPr>
        <w:t>3.4</w:t>
      </w:r>
      <w:r>
        <w:rPr>
          <w:rFonts w:hint="default" w:ascii="Times New Roman" w:hAnsi="Times New Roman" w:eastAsia="方正仿宋_GBK" w:cs="Times New Roman"/>
          <w:snapToGrid/>
          <w:color w:val="auto"/>
          <w:kern w:val="2"/>
          <w:sz w:val="32"/>
          <w:szCs w:val="32"/>
          <w:lang w:val="en-US" w:eastAsia="zh-CN" w:bidi="ar-SA"/>
        </w:rPr>
        <w:t>万吨</w:t>
      </w:r>
      <w:r>
        <w:rPr>
          <w:rFonts w:hint="eastAsia" w:ascii="Times New Roman" w:hAnsi="Times New Roman" w:eastAsia="方正仿宋_GBK" w:cs="Times New Roman"/>
          <w:snapToGrid/>
          <w:color w:val="auto"/>
          <w:kern w:val="2"/>
          <w:sz w:val="32"/>
          <w:szCs w:val="32"/>
          <w:lang w:val="en-US" w:eastAsia="zh-CN" w:bidi="ar-SA"/>
        </w:rPr>
        <w:t>，目前项目正在实施中；救灾资金下达3个月内预算执行率≥90%，目前暂未支出。指标未完成主要原因为：2025年12月31日下达资金，目前项目仍在实施期内。下一步将按照计划做好工作。</w:t>
      </w:r>
    </w:p>
    <w:p w14:paraId="3A5B4CBF">
      <w:pPr>
        <w:pStyle w:val="11"/>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黑体_GBK" w:hAnsi="方正黑体_GBK" w:eastAsia="方正黑体_GBK" w:cs="方正黑体_GBK"/>
          <w:b w:val="0"/>
          <w:bCs w:val="0"/>
          <w:snapToGrid/>
          <w:color w:val="auto"/>
          <w:kern w:val="2"/>
          <w:sz w:val="32"/>
          <w:szCs w:val="32"/>
          <w:lang w:val="en-US" w:eastAsia="zh-CN" w:bidi="ar-SA"/>
        </w:rPr>
      </w:pPr>
      <w:r>
        <w:rPr>
          <w:rFonts w:hint="eastAsia" w:ascii="方正黑体_GBK" w:hAnsi="方正黑体_GBK" w:eastAsia="方正黑体_GBK" w:cs="方正黑体_GBK"/>
          <w:b w:val="0"/>
          <w:bCs w:val="0"/>
          <w:snapToGrid/>
          <w:color w:val="auto"/>
          <w:kern w:val="2"/>
          <w:sz w:val="32"/>
          <w:szCs w:val="32"/>
          <w:lang w:val="en-US" w:eastAsia="zh-CN" w:bidi="ar-SA"/>
        </w:rPr>
        <w:t>四、绩效自评结果拟应用和公开情况</w:t>
      </w:r>
    </w:p>
    <w:p w14:paraId="4C5220DC">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云南省202</w:t>
      </w:r>
      <w:r>
        <w:rPr>
          <w:rFonts w:hint="eastAsia" w:ascii="Times New Roman" w:hAnsi="Times New Roman" w:eastAsia="方正仿宋_GBK" w:cs="Times New Roman"/>
          <w:b w:val="0"/>
          <w:bCs/>
          <w:color w:val="auto"/>
          <w:sz w:val="32"/>
          <w:szCs w:val="32"/>
          <w:highlight w:val="none"/>
          <w:lang w:val="en-US" w:eastAsia="zh-CN"/>
        </w:rPr>
        <w:t>5</w:t>
      </w:r>
      <w:r>
        <w:rPr>
          <w:rFonts w:hint="default" w:ascii="Times New Roman" w:hAnsi="Times New Roman" w:eastAsia="方正仿宋_GBK" w:cs="Times New Roman"/>
          <w:b w:val="0"/>
          <w:bCs/>
          <w:color w:val="auto"/>
          <w:sz w:val="32"/>
          <w:szCs w:val="32"/>
          <w:highlight w:val="none"/>
          <w:lang w:val="en-US" w:eastAsia="zh-CN"/>
        </w:rPr>
        <w:t>年度中央农业防灾减灾和水利救灾资金各项目绩效评价结果，</w:t>
      </w:r>
      <w:r>
        <w:rPr>
          <w:rFonts w:hint="default" w:ascii="Times New Roman" w:hAnsi="Times New Roman" w:eastAsia="方正仿宋_GBK" w:cs="Times New Roman"/>
          <w:color w:val="auto"/>
          <w:sz w:val="32"/>
          <w:szCs w:val="32"/>
          <w:highlight w:val="none"/>
          <w:lang w:val="en-US" w:eastAsia="zh-CN"/>
        </w:rPr>
        <w:t>将作为次年资金安排重要因素加以运用</w:t>
      </w:r>
      <w:r>
        <w:rPr>
          <w:rFonts w:hint="default" w:ascii="Times New Roman" w:hAnsi="Times New Roman" w:eastAsia="方正仿宋_GBK" w:cs="Times New Roman"/>
          <w:color w:val="auto"/>
          <w:sz w:val="32"/>
          <w:szCs w:val="32"/>
          <w:highlight w:val="none"/>
          <w:lang w:eastAsia="zh-CN"/>
        </w:rPr>
        <w:t>。同时，评价结果将及时</w:t>
      </w:r>
      <w:r>
        <w:rPr>
          <w:rFonts w:hint="default" w:ascii="Times New Roman" w:hAnsi="Times New Roman" w:eastAsia="方正仿宋_GBK" w:cs="Times New Roman"/>
          <w:b w:val="0"/>
          <w:bCs/>
          <w:color w:val="auto"/>
          <w:sz w:val="32"/>
          <w:szCs w:val="32"/>
          <w:highlight w:val="none"/>
          <w:lang w:val="en-US" w:eastAsia="zh-CN"/>
        </w:rPr>
        <w:t>在省农业农村厅门户网站公开。</w:t>
      </w:r>
    </w:p>
    <w:p w14:paraId="50AD9892">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方正黑体_GBK" w:hAnsi="方正黑体_GBK" w:eastAsia="方正黑体_GBK" w:cs="方正黑体_GBK"/>
          <w:b w:val="0"/>
          <w:bCs w:val="0"/>
          <w:snapToGrid/>
          <w:color w:val="auto"/>
          <w:kern w:val="2"/>
          <w:sz w:val="32"/>
          <w:szCs w:val="32"/>
          <w:lang w:val="en-US" w:eastAsia="zh-CN" w:bidi="ar-SA"/>
        </w:rPr>
        <w:t>五、其他需要说明的问题</w:t>
      </w:r>
    </w:p>
    <w:p w14:paraId="7DA8E669">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eastAsia" w:ascii="Times New Roman" w:hAnsi="Times New Roman" w:eastAsia="方正仿宋_GBK" w:cs="Times New Roman"/>
          <w:snapToGrid/>
          <w:color w:val="auto"/>
          <w:kern w:val="2"/>
          <w:sz w:val="32"/>
          <w:szCs w:val="32"/>
          <w:lang w:val="en-US" w:eastAsia="zh-CN" w:bidi="ar-SA"/>
        </w:rPr>
        <w:t>无巡视、审计和财会监督中发现的问题及其所涉及的金额。</w:t>
      </w:r>
    </w:p>
    <w:p w14:paraId="7973D668">
      <w:pPr>
        <w:pStyle w:val="11"/>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_GBK" w:cs="Times New Roman"/>
          <w:snapToGrid/>
          <w:color w:val="auto"/>
          <w:kern w:val="2"/>
          <w:sz w:val="32"/>
          <w:szCs w:val="32"/>
          <w:lang w:val="en-US" w:eastAsia="zh-CN" w:bidi="ar-SA"/>
        </w:rPr>
      </w:pPr>
    </w:p>
    <w:p w14:paraId="1183FDD6">
      <w:pPr>
        <w:pStyle w:val="11"/>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jc w:val="both"/>
        <w:textAlignment w:val="auto"/>
        <w:rPr>
          <w:rFonts w:hint="eastAsia" w:ascii="Times New Roman" w:hAnsi="Times New Roman" w:eastAsia="方正仿宋_GBK" w:cs="Times New Roman"/>
          <w:snapToGrid/>
          <w:color w:val="auto"/>
          <w:kern w:val="2"/>
          <w:sz w:val="32"/>
          <w:szCs w:val="32"/>
          <w:lang w:val="en-US" w:eastAsia="zh-CN" w:bidi="ar-SA"/>
        </w:rPr>
      </w:pPr>
      <w:r>
        <w:rPr>
          <w:rFonts w:hint="default" w:ascii="Times New Roman" w:hAnsi="Times New Roman" w:eastAsia="方正仿宋_GBK" w:cs="Times New Roman"/>
          <w:b w:val="0"/>
          <w:bCs w:val="0"/>
          <w:color w:val="auto"/>
          <w:sz w:val="32"/>
          <w:szCs w:val="32"/>
          <w:highlight w:val="none"/>
          <w:lang w:val="en-US" w:eastAsia="zh-CN"/>
        </w:rPr>
        <w:t>附表：</w:t>
      </w:r>
      <w:r>
        <w:rPr>
          <w:rFonts w:hint="default" w:ascii="Times New Roman" w:hAnsi="Times New Roman" w:eastAsia="方正仿宋_GBK" w:cs="Times New Roman"/>
          <w:b w:val="0"/>
          <w:bCs/>
          <w:color w:val="auto"/>
          <w:sz w:val="32"/>
          <w:szCs w:val="32"/>
          <w:highlight w:val="none"/>
          <w:lang w:val="en-US" w:eastAsia="zh-CN"/>
        </w:rPr>
        <w:t>农业防灾减灾和水利救灾</w:t>
      </w:r>
      <w:r>
        <w:rPr>
          <w:rFonts w:hint="eastAsia" w:ascii="Times New Roman" w:hAnsi="Times New Roman" w:eastAsia="方正仿宋_GBK" w:cs="Times New Roman"/>
          <w:snapToGrid/>
          <w:color w:val="auto"/>
          <w:kern w:val="2"/>
          <w:sz w:val="32"/>
          <w:szCs w:val="32"/>
          <w:lang w:val="en-US" w:eastAsia="zh-CN" w:bidi="ar-SA"/>
        </w:rPr>
        <w:t>转移支付区域（项目）绩效自评表</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22DC6D-9690-4ADB-AE8B-6F4A0CC187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7A9F5C8-A745-4E15-91C6-09AFC983C5ED}"/>
  </w:font>
  <w:font w:name="方正黑体_GBK">
    <w:panose1 w:val="02010600010101010101"/>
    <w:charset w:val="86"/>
    <w:family w:val="auto"/>
    <w:pitch w:val="default"/>
    <w:sig w:usb0="00000001" w:usb1="080E0000" w:usb2="00000000" w:usb3="00000000" w:csb0="00040000" w:csb1="00000000"/>
    <w:embedRegular r:id="rId3" w:fontKey="{CEF6E978-9575-4DA6-B299-1068EFD6360F}"/>
  </w:font>
  <w:font w:name="方正小标宋_GBK">
    <w:panose1 w:val="03000509000000000000"/>
    <w:charset w:val="86"/>
    <w:family w:val="auto"/>
    <w:pitch w:val="default"/>
    <w:sig w:usb0="00000001" w:usb1="080E0000" w:usb2="00000000" w:usb3="00000000" w:csb0="00040000" w:csb1="00000000"/>
    <w:embedRegular r:id="rId4" w:fontKey="{14FBA51C-9300-4F9C-9C4D-E1EDC9DF78AE}"/>
  </w:font>
  <w:font w:name="方正仿宋_GBK">
    <w:panose1 w:val="03000509000000000000"/>
    <w:charset w:val="86"/>
    <w:family w:val="auto"/>
    <w:pitch w:val="default"/>
    <w:sig w:usb0="00000001" w:usb1="080E0000" w:usb2="00000000" w:usb3="00000000" w:csb0="00040000" w:csb1="00000000"/>
    <w:embedRegular r:id="rId5" w:fontKey="{E6BBE21A-2C30-4F42-ADAF-B665E6BB537F}"/>
  </w:font>
  <w:font w:name="方正楷体_GBK">
    <w:panose1 w:val="03000509000000000000"/>
    <w:charset w:val="86"/>
    <w:family w:val="auto"/>
    <w:pitch w:val="default"/>
    <w:sig w:usb0="00000001" w:usb1="080E0000" w:usb2="00000000" w:usb3="00000000" w:csb0="00040000" w:csb1="00000000"/>
    <w:embedRegular r:id="rId6" w:fontKey="{2E9EC27C-3CF9-42CB-9770-AD960B7A2B0C}"/>
  </w:font>
  <w:font w:name="楷体_GB2312">
    <w:altName w:val="楷体"/>
    <w:panose1 w:val="02010609030101010101"/>
    <w:charset w:val="00"/>
    <w:family w:val="modern"/>
    <w:pitch w:val="default"/>
    <w:sig w:usb0="00000000" w:usb1="00000000" w:usb2="00000000" w:usb3="00000000" w:csb0="00040000" w:csb1="00000000"/>
    <w:embedRegular r:id="rId7" w:fontKey="{F7ABD39C-B97B-4092-A843-0E5C6123982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81AC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4D0A03">
                          <w:pPr>
                            <w:pStyle w:val="5"/>
                            <w:rPr>
                              <w:rFonts w:hint="eastAsia" w:asciiTheme="minorEastAsia" w:hAnsiTheme="minorEastAsia" w:eastAsiaTheme="minorEastAsia" w:cstheme="minorEastAsia"/>
                              <w:sz w:val="28"/>
                              <w:szCs w:val="44"/>
                            </w:rPr>
                          </w:pPr>
                          <w:r>
                            <w:rPr>
                              <w:rFonts w:hint="eastAsia" w:asciiTheme="minorEastAsia" w:hAnsiTheme="minorEastAsia" w:eastAsiaTheme="minorEastAsia" w:cstheme="minorEastAsia"/>
                              <w:sz w:val="28"/>
                              <w:szCs w:val="44"/>
                            </w:rPr>
                            <w:t xml:space="preserve">— </w:t>
                          </w: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r>
                            <w:rPr>
                              <w:rFonts w:hint="eastAsia" w:asciiTheme="minorEastAsia" w:hAnsiTheme="minorEastAsia" w:eastAsiaTheme="minorEastAsia" w:cstheme="minorEastAsia"/>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4D0A03">
                    <w:pPr>
                      <w:pStyle w:val="5"/>
                      <w:rPr>
                        <w:rFonts w:hint="eastAsia" w:asciiTheme="minorEastAsia" w:hAnsiTheme="minorEastAsia" w:eastAsiaTheme="minorEastAsia" w:cstheme="minorEastAsia"/>
                        <w:sz w:val="28"/>
                        <w:szCs w:val="44"/>
                      </w:rPr>
                    </w:pPr>
                    <w:r>
                      <w:rPr>
                        <w:rFonts w:hint="eastAsia" w:asciiTheme="minorEastAsia" w:hAnsiTheme="minorEastAsia" w:eastAsiaTheme="minorEastAsia" w:cstheme="minorEastAsia"/>
                        <w:sz w:val="28"/>
                        <w:szCs w:val="44"/>
                      </w:rPr>
                      <w:t xml:space="preserve">— </w:t>
                    </w: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r>
                      <w:rPr>
                        <w:rFonts w:hint="eastAsia" w:asciiTheme="minorEastAsia" w:hAnsiTheme="minorEastAsia" w:eastAsiaTheme="minorEastAsia" w:cstheme="minorEastAsia"/>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NmVhNmY5NDY4MDhkZjI4NmU4Y2FmMDAwYzFkMzMifQ=="/>
  </w:docVars>
  <w:rsids>
    <w:rsidRoot w:val="FFEF41C5"/>
    <w:rsid w:val="00B00BD6"/>
    <w:rsid w:val="035D39A0"/>
    <w:rsid w:val="07BD3A9C"/>
    <w:rsid w:val="08E65ADD"/>
    <w:rsid w:val="0ECC26B5"/>
    <w:rsid w:val="0F256C33"/>
    <w:rsid w:val="18602A8A"/>
    <w:rsid w:val="1D7B2840"/>
    <w:rsid w:val="1ECA6DDC"/>
    <w:rsid w:val="1F973235"/>
    <w:rsid w:val="25535E50"/>
    <w:rsid w:val="2611388B"/>
    <w:rsid w:val="29AA0009"/>
    <w:rsid w:val="2A8820F8"/>
    <w:rsid w:val="2D962D7E"/>
    <w:rsid w:val="31D26556"/>
    <w:rsid w:val="32523F5D"/>
    <w:rsid w:val="33E660E2"/>
    <w:rsid w:val="35843E04"/>
    <w:rsid w:val="369E0EF6"/>
    <w:rsid w:val="37F0752F"/>
    <w:rsid w:val="3A983506"/>
    <w:rsid w:val="41731A6D"/>
    <w:rsid w:val="46584C1D"/>
    <w:rsid w:val="4E1E109B"/>
    <w:rsid w:val="51F1661C"/>
    <w:rsid w:val="56694CD1"/>
    <w:rsid w:val="57077B11"/>
    <w:rsid w:val="581C599D"/>
    <w:rsid w:val="599825F2"/>
    <w:rsid w:val="59EF198B"/>
    <w:rsid w:val="5D8A5BAC"/>
    <w:rsid w:val="5FFF16EC"/>
    <w:rsid w:val="61A11716"/>
    <w:rsid w:val="69CE1CBE"/>
    <w:rsid w:val="6ACB531A"/>
    <w:rsid w:val="6AE57A17"/>
    <w:rsid w:val="6E1119D2"/>
    <w:rsid w:val="7196662C"/>
    <w:rsid w:val="73E7C821"/>
    <w:rsid w:val="73F5719B"/>
    <w:rsid w:val="76B455F0"/>
    <w:rsid w:val="77DD04CE"/>
    <w:rsid w:val="7AD718AD"/>
    <w:rsid w:val="7DBD6255"/>
    <w:rsid w:val="7FDF285A"/>
    <w:rsid w:val="7FFB7ADE"/>
    <w:rsid w:val="7FFF04B3"/>
    <w:rsid w:val="AEDE2BFD"/>
    <w:rsid w:val="BEEF8E84"/>
    <w:rsid w:val="C9DB48FE"/>
    <w:rsid w:val="F1D6A849"/>
    <w:rsid w:val="F6E5866C"/>
    <w:rsid w:val="FFEF41C5"/>
    <w:rsid w:val="FFF9F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360" w:lineRule="auto"/>
      <w:jc w:val="center"/>
      <w:outlineLvl w:val="0"/>
    </w:pPr>
    <w:rPr>
      <w:rFonts w:ascii="Times New Roman" w:hAnsi="Times New Roman" w:eastAsia="宋体"/>
      <w:b/>
      <w:bCs/>
      <w:kern w:val="44"/>
      <w:sz w:val="32"/>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napToGrid w:val="0"/>
      <w:spacing w:line="300" w:lineRule="auto"/>
      <w:ind w:firstLine="556"/>
    </w:pPr>
    <w:rPr>
      <w:rFonts w:ascii="仿宋_GB2312" w:hAnsi="Times New Roman" w:eastAsia="仿宋_GB2312"/>
      <w:kern w:val="0"/>
      <w:szCs w:val="20"/>
    </w:rPr>
  </w:style>
  <w:style w:type="paragraph" w:styleId="4">
    <w:name w:val="toa heading"/>
    <w:next w:val="1"/>
    <w:qFormat/>
    <w:uiPriority w:val="0"/>
    <w:pPr>
      <w:widowControl w:val="0"/>
      <w:spacing w:before="120"/>
      <w:jc w:val="both"/>
    </w:pPr>
    <w:rPr>
      <w:rFonts w:ascii="Times New Roman" w:hAnsi="Times New Roman" w:eastAsia="宋体" w:cs="Times New Roman"/>
      <w:kern w:val="2"/>
      <w:sz w:val="24"/>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next w:val="9"/>
    <w:qFormat/>
    <w:uiPriority w:val="0"/>
    <w:pPr>
      <w:widowControl w:val="0"/>
      <w:jc w:val="both"/>
    </w:pPr>
    <w:rPr>
      <w:rFonts w:ascii="Calibri" w:hAnsi="Calibri" w:eastAsia="宋体" w:cs="黑体"/>
      <w:kern w:val="2"/>
      <w:sz w:val="21"/>
      <w:szCs w:val="24"/>
      <w:lang w:val="en-US" w:eastAsia="zh-CN" w:bidi="ar-SA"/>
    </w:rPr>
  </w:style>
  <w:style w:type="paragraph" w:customStyle="1" w:styleId="11">
    <w:name w:val="Normal Indent1"/>
    <w:basedOn w:val="1"/>
    <w:qFormat/>
    <w:uiPriority w:val="0"/>
    <w:pPr>
      <w:ind w:firstLine="420" w:firstLineChars="200"/>
    </w:pPr>
  </w:style>
  <w:style w:type="paragraph" w:customStyle="1" w:styleId="12">
    <w:name w:val="p0 New New New New New New New New New New New New New New New New New New New New New New New New New New New New New New New"/>
    <w:basedOn w:val="1"/>
    <w:qFormat/>
    <w:uiPriority w:val="0"/>
    <w:pPr>
      <w:widowControl/>
    </w:pPr>
    <w:rPr>
      <w:rFonts w:ascii="Calibri" w:hAnsi="Calibri" w:cs="宋体"/>
      <w:kern w:val="0"/>
      <w:sz w:val="30"/>
      <w:szCs w:val="30"/>
    </w:rPr>
  </w:style>
  <w:style w:type="character" w:customStyle="1" w:styleId="13">
    <w:name w:val="font01"/>
    <w:basedOn w:val="8"/>
    <w:qFormat/>
    <w:uiPriority w:val="0"/>
    <w:rPr>
      <w:rFonts w:hint="eastAsia" w:ascii="宋体" w:hAnsi="宋体" w:eastAsia="宋体" w:cs="宋体"/>
      <w:color w:val="000000"/>
      <w:sz w:val="22"/>
      <w:szCs w:val="22"/>
      <w:u w:val="none"/>
    </w:rPr>
  </w:style>
  <w:style w:type="character" w:customStyle="1" w:styleId="14">
    <w:name w:val="font11"/>
    <w:basedOn w:val="8"/>
    <w:qFormat/>
    <w:uiPriority w:val="0"/>
    <w:rPr>
      <w:rFonts w:hint="eastAsia"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4956</Words>
  <Characters>5331</Characters>
  <Lines>0</Lines>
  <Paragraphs>0</Paragraphs>
  <TotalTime>0</TotalTime>
  <ScaleCrop>false</ScaleCrop>
  <LinksUpToDate>false</LinksUpToDate>
  <CharactersWithSpaces>5383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2026-02-26T19:46:00Z</dcterms:created>
  <dc:creator>卡卡</dc:creator>
  <cp:lastModifiedBy>张微</cp:lastModifiedBy>
  <dcterms:modified xsi:type="dcterms:W3CDTF">2026-03-31T09:24:46Z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7F3D0C383690935D27E19E69707EBA64_41</vt:lpwstr>
  </property>
  <property fmtid="{D5CDD505-2E9C-101B-9397-08002B2CF9AE}" pid="4" name="KSOTemplateDocerSaveRecord">
    <vt:lpwstr>eyJoZGlkIjoiMDRjODNkYmVmYTU1YTQ0YTY1MTA2NjA1M2M1MGFlYWQiLCJ1c2VySWQiOiIxNjEzNDM2NzY2In0=</vt:lpwstr>
  </property>
</Properties>
</file>